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D2" w:rsidRPr="0040485C" w:rsidRDefault="00E351D2" w:rsidP="00E351D2">
      <w:pPr>
        <w:pStyle w:val="Default"/>
        <w:spacing w:line="276" w:lineRule="auto"/>
        <w:rPr>
          <w:rFonts w:asciiTheme="minorHAnsi" w:hAnsiTheme="minorHAnsi" w:cstheme="minorHAnsi"/>
          <w:b/>
          <w:bCs/>
          <w:sz w:val="22"/>
          <w:szCs w:val="22"/>
          <w:u w:val="single"/>
        </w:rPr>
      </w:pPr>
      <w:r w:rsidRPr="0040485C">
        <w:rPr>
          <w:rFonts w:asciiTheme="minorHAnsi" w:hAnsiTheme="minorHAnsi" w:cstheme="minorHAnsi"/>
          <w:b/>
          <w:bCs/>
          <w:sz w:val="22"/>
          <w:szCs w:val="22"/>
          <w:u w:val="single"/>
        </w:rPr>
        <w:t xml:space="preserve">TEMA 2. OPERACIONES COMERCIALES </w:t>
      </w:r>
    </w:p>
    <w:p w:rsidR="00E351D2" w:rsidRPr="0040485C" w:rsidRDefault="00E351D2" w:rsidP="00E351D2">
      <w:pPr>
        <w:pStyle w:val="Default"/>
        <w:spacing w:line="276" w:lineRule="auto"/>
        <w:rPr>
          <w:rFonts w:asciiTheme="minorHAnsi" w:hAnsiTheme="minorHAnsi" w:cstheme="minorHAnsi"/>
          <w:sz w:val="22"/>
          <w:szCs w:val="22"/>
          <w:u w:val="single"/>
        </w:rPr>
      </w:pPr>
    </w:p>
    <w:p w:rsidR="00E351D2" w:rsidRPr="0040485C" w:rsidRDefault="00E351D2" w:rsidP="00E351D2">
      <w:pPr>
        <w:pStyle w:val="Default"/>
        <w:spacing w:line="276" w:lineRule="auto"/>
        <w:rPr>
          <w:rFonts w:asciiTheme="minorHAnsi" w:hAnsiTheme="minorHAnsi" w:cstheme="minorHAnsi"/>
          <w:color w:val="0070C0"/>
          <w:sz w:val="22"/>
          <w:szCs w:val="22"/>
        </w:rPr>
      </w:pPr>
      <w:r w:rsidRPr="0040485C">
        <w:rPr>
          <w:rFonts w:asciiTheme="minorHAnsi" w:hAnsiTheme="minorHAnsi" w:cstheme="minorHAnsi"/>
          <w:color w:val="0070C0"/>
          <w:sz w:val="22"/>
          <w:szCs w:val="22"/>
        </w:rPr>
        <w:t xml:space="preserve">2.1. Repaso de cuestiones ya vistan en PIAC: compras, ventas, anticipos, descuentos, gastos, devoluciones y envases con facultad de devolución. </w:t>
      </w:r>
    </w:p>
    <w:p w:rsidR="00E351D2" w:rsidRPr="0040485C" w:rsidRDefault="00E351D2" w:rsidP="00E351D2">
      <w:pPr>
        <w:pStyle w:val="Default"/>
        <w:spacing w:line="276" w:lineRule="auto"/>
        <w:rPr>
          <w:rFonts w:asciiTheme="minorHAnsi" w:hAnsiTheme="minorHAnsi" w:cstheme="minorHAnsi"/>
          <w:color w:val="0070C0"/>
          <w:sz w:val="22"/>
          <w:szCs w:val="22"/>
        </w:rPr>
      </w:pPr>
    </w:p>
    <w:p w:rsidR="00E351D2" w:rsidRPr="0040485C" w:rsidRDefault="00E351D2" w:rsidP="00E351D2">
      <w:pPr>
        <w:pStyle w:val="Default"/>
        <w:spacing w:line="276" w:lineRule="auto"/>
        <w:rPr>
          <w:rFonts w:asciiTheme="minorHAnsi" w:hAnsiTheme="minorHAnsi" w:cstheme="minorHAnsi"/>
          <w:b/>
          <w:i/>
          <w:sz w:val="22"/>
          <w:szCs w:val="22"/>
        </w:rPr>
      </w:pPr>
      <w:r w:rsidRPr="0040485C">
        <w:rPr>
          <w:rFonts w:asciiTheme="minorHAnsi" w:hAnsiTheme="minorHAnsi" w:cstheme="minorHAnsi"/>
          <w:b/>
          <w:i/>
          <w:sz w:val="22"/>
          <w:szCs w:val="22"/>
        </w:rPr>
        <w:t xml:space="preserve">2.2. Corrección valorativa existencias. </w:t>
      </w:r>
    </w:p>
    <w:p w:rsidR="00E351D2" w:rsidRPr="0040485C" w:rsidRDefault="00E351D2" w:rsidP="00E351D2">
      <w:pPr>
        <w:pStyle w:val="Default"/>
        <w:spacing w:line="276" w:lineRule="auto"/>
        <w:rPr>
          <w:rFonts w:asciiTheme="minorHAnsi" w:hAnsiTheme="minorHAnsi" w:cstheme="minorHAnsi"/>
          <w:b/>
          <w:i/>
          <w:sz w:val="22"/>
          <w:szCs w:val="22"/>
        </w:rPr>
      </w:pPr>
    </w:p>
    <w:p w:rsidR="00E351D2" w:rsidRPr="0040485C" w:rsidRDefault="00E351D2" w:rsidP="00E351D2">
      <w:pPr>
        <w:spacing w:line="276" w:lineRule="auto"/>
        <w:rPr>
          <w:rFonts w:cstheme="minorHAnsi"/>
        </w:rPr>
      </w:pPr>
      <w:r w:rsidRPr="0040485C">
        <w:rPr>
          <w:rFonts w:cstheme="minorHAnsi"/>
        </w:rPr>
        <w:t>El inventario de existencias puede experimentar pérdidas irreversibles y reversibles. En virtud del principio de prudencia valorativa, se han de registrar contablemente las pérdidas ciertas y las potenciales, tan pronto como sean conocidas. En esta línea, la norma de valoración 13.ª del PGC, apartado 4, señala:</w:t>
      </w:r>
    </w:p>
    <w:p w:rsidR="00E351D2" w:rsidRPr="0040485C" w:rsidRDefault="00E351D2" w:rsidP="00E351D2">
      <w:pPr>
        <w:spacing w:line="276" w:lineRule="auto"/>
        <w:rPr>
          <w:rFonts w:cstheme="minorHAnsi"/>
        </w:rPr>
      </w:pPr>
      <w:r w:rsidRPr="0040485C">
        <w:rPr>
          <w:rFonts w:cstheme="minorHAnsi"/>
        </w:rPr>
        <w:t>«Cuando el valor de mercado de un bien o cualquier otro valor que le corresponda sea inferior a su precio de adquisición o a su coste de producción, procederá a efectuar correcciones valorativas, dotando a tal efecto la pertinente provisión, cuando la depreciación sea reversible. Si la depreciación (pérdida) fuera irreversible, se tendrá en cuenta tal circunstancia al valorar las existencias».</w:t>
      </w:r>
    </w:p>
    <w:p w:rsidR="00E351D2" w:rsidRPr="0040485C" w:rsidRDefault="00E351D2" w:rsidP="00E351D2">
      <w:pPr>
        <w:spacing w:line="276" w:lineRule="auto"/>
        <w:rPr>
          <w:rFonts w:cstheme="minorHAnsi"/>
        </w:rPr>
      </w:pPr>
      <w:r w:rsidRPr="0040485C">
        <w:rPr>
          <w:rFonts w:cstheme="minorHAnsi"/>
        </w:rPr>
        <w:t>Las pérdidas irreversibles incidirán minorando el valor de las existencias finales. Se entiende que las existencias han sufrido una pérdida reversible cuando el valor de mercado de estas sea más bajo que el valor de adquisición o coste de producción de las mismas, con independencia de que las causas que hayan originado esta circunstancia temporal sean inherentes al mercado o a las existencias. A tal efecto, contablemente, se crean las correspondientes provisiones.</w:t>
      </w:r>
    </w:p>
    <w:p w:rsidR="00E351D2" w:rsidRPr="0040485C" w:rsidRDefault="00E351D2" w:rsidP="00E351D2">
      <w:pPr>
        <w:spacing w:line="276" w:lineRule="auto"/>
        <w:rPr>
          <w:rFonts w:cstheme="minorHAnsi"/>
        </w:rPr>
      </w:pPr>
      <w:r w:rsidRPr="0040485C">
        <w:rPr>
          <w:rFonts w:cstheme="minorHAnsi"/>
        </w:rPr>
        <w:t>Al tener estas correcciones valorativas un carácter de cobertura de riesgos ciertos, pero cuya cuantía exacta y momento no se conocen, estas dotaciones nacen cuando se conoce su existencia potencial, permaneciendo en el activo del balance hasta que la contingencia se produzca, reduciendo el valor del elemento corregido, y deberán darse de baja una vez que el riesgo se haya producido.</w:t>
      </w:r>
    </w:p>
    <w:p w:rsidR="00E351D2" w:rsidRPr="0040485C" w:rsidRDefault="00E351D2" w:rsidP="00E351D2">
      <w:pPr>
        <w:spacing w:line="276" w:lineRule="auto"/>
        <w:rPr>
          <w:rFonts w:cstheme="minorHAnsi"/>
        </w:rPr>
      </w:pPr>
      <w:r w:rsidRPr="0040485C">
        <w:rPr>
          <w:rFonts w:cstheme="minorHAnsi"/>
        </w:rPr>
        <w:t>Las provisiones de existencias están recogidas en el subgrupo 39 del PGC y suponen la expresión contable de las pérdidas de carácter reversible puestas de manifiesto con motivo del inventario de existencias al cierre del ejercicio. Estas cuentas tienen el siguiente movimiento:</w:t>
      </w:r>
    </w:p>
    <w:p w:rsidR="00E351D2" w:rsidRPr="0040485C" w:rsidRDefault="00E351D2" w:rsidP="00E351D2">
      <w:pPr>
        <w:pStyle w:val="Prrafodelista"/>
        <w:numPr>
          <w:ilvl w:val="0"/>
          <w:numId w:val="1"/>
        </w:numPr>
        <w:spacing w:line="276" w:lineRule="auto"/>
        <w:rPr>
          <w:rFonts w:cstheme="minorHAnsi"/>
        </w:rPr>
      </w:pPr>
      <w:r w:rsidRPr="0040485C">
        <w:rPr>
          <w:rFonts w:cstheme="minorHAnsi"/>
        </w:rPr>
        <w:t>Se abonarán por la dotación que se realice en el ejercicio que se cierre, con cargo a la cuenta 693, «Dotación a la provisión de existencias». Es decir, que la dotación que se efectúa es sobre la cifra del inventario final.</w:t>
      </w:r>
    </w:p>
    <w:p w:rsidR="00E351D2" w:rsidRPr="0040485C" w:rsidRDefault="00E351D2" w:rsidP="00E351D2">
      <w:pPr>
        <w:pStyle w:val="Prrafodelista"/>
        <w:numPr>
          <w:ilvl w:val="0"/>
          <w:numId w:val="1"/>
        </w:numPr>
        <w:spacing w:line="276" w:lineRule="auto"/>
        <w:rPr>
          <w:rFonts w:cstheme="minorHAnsi"/>
        </w:rPr>
      </w:pPr>
      <w:r w:rsidRPr="0040485C">
        <w:rPr>
          <w:rFonts w:cstheme="minorHAnsi"/>
        </w:rPr>
        <w:t>Se cargarán por la dotación efectuada en el ejercicio precedente, con abono a la cuenta 793, «Provisión de existencias aplicada». Es decir, que debemos eliminar la provisión del año anterior si existiese.</w:t>
      </w:r>
    </w:p>
    <w:p w:rsidR="00E351D2" w:rsidRPr="0040485C" w:rsidRDefault="00E351D2" w:rsidP="00E351D2">
      <w:pPr>
        <w:spacing w:line="276" w:lineRule="auto"/>
        <w:rPr>
          <w:rFonts w:cstheme="minorHAnsi"/>
          <w:b/>
          <w:u w:val="single"/>
        </w:rPr>
      </w:pPr>
      <w:bookmarkStart w:id="0" w:name="_GoBack"/>
      <w:bookmarkEnd w:id="0"/>
      <w:r w:rsidRPr="0040485C">
        <w:rPr>
          <w:rFonts w:cstheme="minorHAnsi"/>
          <w:b/>
          <w:u w:val="single"/>
        </w:rPr>
        <w:t>EJEMPLO 1:</w:t>
      </w:r>
    </w:p>
    <w:p w:rsidR="00E351D2" w:rsidRPr="0040485C" w:rsidRDefault="00E351D2" w:rsidP="00E351D2">
      <w:pPr>
        <w:spacing w:line="276" w:lineRule="auto"/>
        <w:rPr>
          <w:rFonts w:cstheme="minorHAnsi"/>
        </w:rPr>
      </w:pPr>
      <w:r w:rsidRPr="0040485C">
        <w:rPr>
          <w:rFonts w:cstheme="minorHAnsi"/>
        </w:rPr>
        <w:t>En el año X1, «LU, SA» adquiere mercaderías por 10.000€, que abona mediante talón bancario. Al cierre de ese ejercicio, las mercaderías compradas siguen en el almacén, pero su valor de mercado se cifra en 8.500€.</w:t>
      </w:r>
    </w:p>
    <w:p w:rsidR="00E351D2" w:rsidRPr="0040485C" w:rsidRDefault="00E351D2" w:rsidP="00E351D2">
      <w:pPr>
        <w:spacing w:line="276" w:lineRule="auto"/>
        <w:rPr>
          <w:rFonts w:cstheme="minorHAnsi"/>
        </w:rPr>
      </w:pPr>
      <w:r w:rsidRPr="0040485C">
        <w:rPr>
          <w:rFonts w:cstheme="minorHAnsi"/>
        </w:rPr>
        <w:t>Se pide:</w:t>
      </w:r>
    </w:p>
    <w:p w:rsidR="00E351D2" w:rsidRPr="0040485C" w:rsidRDefault="00E351D2" w:rsidP="00E351D2">
      <w:pPr>
        <w:spacing w:line="276" w:lineRule="auto"/>
        <w:rPr>
          <w:rFonts w:cstheme="minorHAnsi"/>
        </w:rPr>
      </w:pPr>
      <w:r w:rsidRPr="0040485C">
        <w:rPr>
          <w:rFonts w:cstheme="minorHAnsi"/>
        </w:rPr>
        <w:lastRenderedPageBreak/>
        <w:t>Reflejar las correspondientes anotaciones contables y su incidencia en los resultados y en el patrimonio empresarial (balance).</w:t>
      </w:r>
    </w:p>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 adquisición de las mercaderías:</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Compras de mercaderías (600)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Bancos, c/c a la vista (572)</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10.000</w:t>
            </w:r>
          </w:p>
        </w:tc>
      </w:tr>
    </w:tbl>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el reflejo de las existencias en el inventario final del año X1, las cuales deben figurar por el valor de adquisición:</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Mercaderías (300)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Variación de existencias de mercaderías (610)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10.000</w:t>
            </w:r>
          </w:p>
        </w:tc>
      </w:tr>
    </w:tbl>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 dotación a la provisión para imputar las 1.500 € de pérdidas originadas por la depreciación de las mercaderías:</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Dotación a la provisión por depreciación de existencias (693)</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1.500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Provisión por depreciación de mercaderías (390)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1.500</w:t>
            </w:r>
          </w:p>
        </w:tc>
      </w:tr>
    </w:tbl>
    <w:p w:rsidR="00E351D2" w:rsidRPr="0040485C" w:rsidRDefault="00E351D2" w:rsidP="00E351D2">
      <w:pPr>
        <w:spacing w:before="240" w:after="240" w:line="276" w:lineRule="auto"/>
        <w:ind w:left="480" w:right="480"/>
        <w:jc w:val="both"/>
        <w:textAlignment w:val="baseline"/>
        <w:rPr>
          <w:rFonts w:eastAsia="Times New Roman" w:cstheme="minorHAnsi"/>
          <w:color w:val="222222"/>
          <w:lang w:eastAsia="es-ES"/>
        </w:rPr>
      </w:pPr>
      <w:r w:rsidRPr="0040485C">
        <w:rPr>
          <w:rFonts w:eastAsia="Times New Roman" w:cstheme="minorHAnsi"/>
          <w:color w:val="222222"/>
          <w:lang w:eastAsia="es-ES"/>
        </w:rPr>
        <w:t> Incidencia en los resultados:</w:t>
      </w:r>
    </w:p>
    <w:tbl>
      <w:tblPr>
        <w:tblW w:w="8445" w:type="dxa"/>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5838"/>
        <w:gridCol w:w="2607"/>
      </w:tblGrid>
      <w:tr w:rsidR="00E351D2" w:rsidRPr="0040485C" w:rsidTr="001C5752">
        <w:trPr>
          <w:jc w:val="center"/>
        </w:trPr>
        <w:tc>
          <w:tcPr>
            <w:tcW w:w="0" w:type="auto"/>
            <w:tcBorders>
              <w:top w:val="nil"/>
              <w:left w:val="nil"/>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Gastos</w:t>
            </w:r>
          </w:p>
        </w:tc>
        <w:tc>
          <w:tcPr>
            <w:tcW w:w="0" w:type="auto"/>
            <w:tcBorders>
              <w:top w:val="nil"/>
              <w:left w:val="nil"/>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jc w:val="right"/>
              <w:textAlignment w:val="baseline"/>
              <w:rPr>
                <w:rFonts w:eastAsia="Times New Roman" w:cstheme="minorHAnsi"/>
                <w:color w:val="747474"/>
                <w:lang w:eastAsia="es-ES"/>
              </w:rPr>
            </w:pPr>
            <w:r w:rsidRPr="0040485C">
              <w:rPr>
                <w:rFonts w:eastAsia="Times New Roman" w:cstheme="minorHAnsi"/>
                <w:color w:val="747474"/>
                <w:lang w:eastAsia="es-ES"/>
              </w:rPr>
              <w:t xml:space="preserve">11.500 </w:t>
            </w:r>
            <w:proofErr w:type="spellStart"/>
            <w:r w:rsidRPr="0040485C">
              <w:rPr>
                <w:rFonts w:eastAsia="Times New Roman" w:cstheme="minorHAnsi"/>
                <w:color w:val="747474"/>
                <w:lang w:eastAsia="es-ES"/>
              </w:rPr>
              <w:t>u.m.</w:t>
            </w:r>
            <w:proofErr w:type="spellEnd"/>
          </w:p>
        </w:tc>
      </w:tr>
      <w:tr w:rsidR="00E351D2" w:rsidRPr="0040485C" w:rsidTr="001C5752">
        <w:trPr>
          <w:jc w:val="center"/>
        </w:trPr>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Ingresos</w:t>
            </w:r>
          </w:p>
        </w:tc>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jc w:val="right"/>
              <w:textAlignment w:val="baseline"/>
              <w:rPr>
                <w:rFonts w:eastAsia="Times New Roman" w:cstheme="minorHAnsi"/>
                <w:color w:val="747474"/>
                <w:lang w:eastAsia="es-ES"/>
              </w:rPr>
            </w:pPr>
            <w:r w:rsidRPr="0040485C">
              <w:rPr>
                <w:rFonts w:eastAsia="Times New Roman" w:cstheme="minorHAnsi"/>
                <w:color w:val="747474"/>
                <w:lang w:eastAsia="es-ES"/>
              </w:rPr>
              <w:t xml:space="preserve">10.000 </w:t>
            </w:r>
            <w:proofErr w:type="spellStart"/>
            <w:r w:rsidRPr="0040485C">
              <w:rPr>
                <w:rFonts w:eastAsia="Times New Roman" w:cstheme="minorHAnsi"/>
                <w:color w:val="747474"/>
                <w:lang w:eastAsia="es-ES"/>
              </w:rPr>
              <w:t>u.m.</w:t>
            </w:r>
            <w:proofErr w:type="spellEnd"/>
          </w:p>
        </w:tc>
      </w:tr>
      <w:tr w:rsidR="00E351D2" w:rsidRPr="0040485C" w:rsidTr="001C5752">
        <w:trPr>
          <w:jc w:val="center"/>
        </w:trPr>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Resultado (10.000 – 11.500)</w:t>
            </w:r>
          </w:p>
        </w:tc>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jc w:val="right"/>
              <w:textAlignment w:val="baseline"/>
              <w:rPr>
                <w:rFonts w:eastAsia="Times New Roman" w:cstheme="minorHAnsi"/>
                <w:color w:val="747474"/>
                <w:lang w:eastAsia="es-ES"/>
              </w:rPr>
            </w:pPr>
            <w:r w:rsidRPr="0040485C">
              <w:rPr>
                <w:rFonts w:eastAsia="Times New Roman" w:cstheme="minorHAnsi"/>
                <w:color w:val="747474"/>
                <w:lang w:eastAsia="es-ES"/>
              </w:rPr>
              <w:t xml:space="preserve">(1.500) </w:t>
            </w:r>
            <w:proofErr w:type="spellStart"/>
            <w:r w:rsidRPr="0040485C">
              <w:rPr>
                <w:rFonts w:eastAsia="Times New Roman" w:cstheme="minorHAnsi"/>
                <w:color w:val="747474"/>
                <w:lang w:eastAsia="es-ES"/>
              </w:rPr>
              <w:t>u.m.</w:t>
            </w:r>
            <w:proofErr w:type="spellEnd"/>
          </w:p>
        </w:tc>
      </w:tr>
    </w:tbl>
    <w:p w:rsidR="00E351D2" w:rsidRDefault="00E351D2" w:rsidP="00E351D2">
      <w:pPr>
        <w:spacing w:before="240" w:after="240" w:line="276" w:lineRule="auto"/>
        <w:ind w:right="480"/>
        <w:jc w:val="both"/>
        <w:textAlignment w:val="baseline"/>
        <w:rPr>
          <w:rFonts w:eastAsia="Times New Roman" w:cstheme="minorHAnsi"/>
          <w:color w:val="222222"/>
          <w:lang w:eastAsia="es-ES"/>
        </w:rPr>
      </w:pPr>
    </w:p>
    <w:p w:rsidR="00E351D2" w:rsidRDefault="00E351D2" w:rsidP="00E351D2">
      <w:pPr>
        <w:spacing w:before="240" w:after="240" w:line="276" w:lineRule="auto"/>
        <w:ind w:right="480"/>
        <w:jc w:val="both"/>
        <w:textAlignment w:val="baseline"/>
        <w:rPr>
          <w:rFonts w:eastAsia="Times New Roman" w:cstheme="minorHAnsi"/>
          <w:color w:val="222222"/>
          <w:lang w:eastAsia="es-ES"/>
        </w:rPr>
      </w:pPr>
    </w:p>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Repercusión en el patrimonio (balance):</w:t>
      </w:r>
    </w:p>
    <w:p w:rsidR="00E351D2" w:rsidRPr="0040485C" w:rsidRDefault="00E351D2" w:rsidP="00E351D2">
      <w:pPr>
        <w:spacing w:after="0" w:line="276" w:lineRule="auto"/>
        <w:ind w:left="480" w:right="480"/>
        <w:jc w:val="both"/>
        <w:textAlignment w:val="baseline"/>
        <w:rPr>
          <w:rFonts w:eastAsia="Times New Roman" w:cstheme="minorHAnsi"/>
          <w:color w:val="222222"/>
          <w:lang w:eastAsia="es-ES"/>
        </w:rPr>
      </w:pPr>
      <w:r w:rsidRPr="0040485C">
        <w:rPr>
          <w:rFonts w:eastAsia="Times New Roman" w:cstheme="minorHAnsi"/>
          <w:b/>
          <w:bCs/>
          <w:color w:val="222222"/>
          <w:bdr w:val="none" w:sz="0" w:space="0" w:color="auto" w:frame="1"/>
          <w:lang w:eastAsia="es-ES"/>
        </w:rPr>
        <w:t>Activo:</w:t>
      </w:r>
    </w:p>
    <w:tbl>
      <w:tblPr>
        <w:tblW w:w="8445" w:type="dxa"/>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7160"/>
        <w:gridCol w:w="1285"/>
      </w:tblGrid>
      <w:tr w:rsidR="00E351D2" w:rsidRPr="0040485C" w:rsidTr="001C5752">
        <w:trPr>
          <w:jc w:val="center"/>
        </w:trPr>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Mercaderías</w:t>
            </w:r>
          </w:p>
        </w:tc>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jc w:val="right"/>
              <w:textAlignment w:val="baseline"/>
              <w:rPr>
                <w:rFonts w:eastAsia="Times New Roman" w:cstheme="minorHAnsi"/>
                <w:color w:val="747474"/>
                <w:lang w:eastAsia="es-ES"/>
              </w:rPr>
            </w:pPr>
            <w:r w:rsidRPr="0040485C">
              <w:rPr>
                <w:rFonts w:eastAsia="Times New Roman" w:cstheme="minorHAnsi"/>
                <w:color w:val="747474"/>
                <w:lang w:eastAsia="es-ES"/>
              </w:rPr>
              <w:t>10.000</w:t>
            </w:r>
          </w:p>
        </w:tc>
      </w:tr>
      <w:tr w:rsidR="00E351D2" w:rsidRPr="0040485C" w:rsidTr="001C5752">
        <w:trPr>
          <w:jc w:val="center"/>
        </w:trPr>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Provisión por depreciación de mercaderías</w:t>
            </w:r>
          </w:p>
        </w:tc>
        <w:tc>
          <w:tcPr>
            <w:tcW w:w="0" w:type="auto"/>
            <w:tcBorders>
              <w:top w:val="nil"/>
              <w:left w:val="nil"/>
              <w:bottom w:val="threeDEmboss" w:sz="6" w:space="0" w:color="C8C7C7"/>
              <w:right w:val="nil"/>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jc w:val="right"/>
              <w:textAlignment w:val="baseline"/>
              <w:rPr>
                <w:rFonts w:eastAsia="Times New Roman" w:cstheme="minorHAnsi"/>
                <w:color w:val="747474"/>
                <w:lang w:eastAsia="es-ES"/>
              </w:rPr>
            </w:pPr>
            <w:r w:rsidRPr="0040485C">
              <w:rPr>
                <w:rFonts w:eastAsia="Times New Roman" w:cstheme="minorHAnsi"/>
                <w:color w:val="747474"/>
                <w:lang w:eastAsia="es-ES"/>
              </w:rPr>
              <w:t>(1.500)</w:t>
            </w:r>
          </w:p>
        </w:tc>
      </w:tr>
    </w:tbl>
    <w:p w:rsidR="00E351D2" w:rsidRPr="0040485C" w:rsidRDefault="00E351D2" w:rsidP="00E351D2">
      <w:pPr>
        <w:spacing w:line="276" w:lineRule="auto"/>
        <w:rPr>
          <w:rFonts w:eastAsia="Times New Roman" w:cstheme="minorHAnsi"/>
          <w:color w:val="222222"/>
          <w:lang w:eastAsia="es-ES"/>
        </w:rPr>
      </w:pPr>
    </w:p>
    <w:p w:rsidR="00E351D2" w:rsidRPr="0040485C" w:rsidRDefault="00E351D2" w:rsidP="00E351D2">
      <w:pPr>
        <w:spacing w:line="276" w:lineRule="auto"/>
        <w:rPr>
          <w:rFonts w:cstheme="minorHAnsi"/>
          <w:b/>
          <w:u w:val="single"/>
        </w:rPr>
      </w:pPr>
      <w:r w:rsidRPr="0040485C">
        <w:rPr>
          <w:rFonts w:cstheme="minorHAnsi"/>
          <w:b/>
          <w:u w:val="single"/>
        </w:rPr>
        <w:t>EJEMPLO 2:</w:t>
      </w:r>
    </w:p>
    <w:p w:rsidR="00E351D2" w:rsidRPr="0040485C" w:rsidRDefault="00E351D2" w:rsidP="00E351D2">
      <w:pPr>
        <w:spacing w:line="276" w:lineRule="auto"/>
        <w:rPr>
          <w:rFonts w:cstheme="minorHAnsi"/>
        </w:rPr>
      </w:pPr>
      <w:r w:rsidRPr="0040485C">
        <w:rPr>
          <w:rFonts w:cstheme="minorHAnsi"/>
        </w:rPr>
        <w:t>En el año X2, «LU, SA» ha vendido las mercaderías que tenía a finales de X1, por 9.000€. También ha comprado mercaderías a 13.000 €. Estas operaciones se realizaron a través de banco.</w:t>
      </w:r>
    </w:p>
    <w:p w:rsidR="00E351D2" w:rsidRPr="0040485C" w:rsidRDefault="00E351D2" w:rsidP="00E351D2">
      <w:pPr>
        <w:spacing w:line="276" w:lineRule="auto"/>
        <w:rPr>
          <w:rFonts w:cstheme="minorHAnsi"/>
        </w:rPr>
      </w:pPr>
      <w:r w:rsidRPr="0040485C">
        <w:rPr>
          <w:rFonts w:cstheme="minorHAnsi"/>
        </w:rPr>
        <w:lastRenderedPageBreak/>
        <w:t>Al cierre del ejercicio X2 su inventario está integrado por las mercaderías compradas en ese año y su valor de mercado se eleva a 12.000€.</w:t>
      </w:r>
    </w:p>
    <w:p w:rsidR="00E351D2" w:rsidRPr="0040485C" w:rsidRDefault="00E351D2" w:rsidP="00E351D2">
      <w:pPr>
        <w:spacing w:line="276" w:lineRule="auto"/>
        <w:rPr>
          <w:rFonts w:cstheme="minorHAnsi"/>
        </w:rPr>
      </w:pPr>
      <w:r w:rsidRPr="0040485C">
        <w:rPr>
          <w:rFonts w:cstheme="minorHAnsi"/>
        </w:rPr>
        <w:t>Se pide:</w:t>
      </w:r>
    </w:p>
    <w:p w:rsidR="00E351D2" w:rsidRPr="0040485C" w:rsidRDefault="00E351D2" w:rsidP="00E351D2">
      <w:pPr>
        <w:spacing w:line="276" w:lineRule="auto"/>
        <w:rPr>
          <w:rFonts w:cstheme="minorHAnsi"/>
        </w:rPr>
      </w:pPr>
      <w:r w:rsidRPr="0040485C">
        <w:rPr>
          <w:rFonts w:cstheme="minorHAnsi"/>
        </w:rPr>
        <w:t>Registrar los asientos que reflejen las operaciones anteriores.</w:t>
      </w:r>
    </w:p>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las ventas realizadas:</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Bancos, c/c a la vista (572)</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9.000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Ventas de mercaderías (700)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9.000</w:t>
            </w:r>
          </w:p>
        </w:tc>
      </w:tr>
    </w:tbl>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las compras del año X2:</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Compras de mercaderías (600)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13.000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Bancos, c/c a la vista (572)</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13.000</w:t>
            </w:r>
          </w:p>
        </w:tc>
      </w:tr>
    </w:tbl>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 eliminación de las existencias iniciales del año X2 (que eran las existencias finales del año X1): </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Variación de existencias de mercaderías (610)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Mercaderías (300)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10.000</w:t>
            </w:r>
          </w:p>
        </w:tc>
      </w:tr>
    </w:tbl>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 eliminación de la provisión del año anterior:</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Provisión por depreciación de mercaderías (390)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1.500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Provisión por depreciación de existencias aplicada (793)</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1.500</w:t>
            </w:r>
          </w:p>
        </w:tc>
      </w:tr>
    </w:tbl>
    <w:p w:rsidR="00E351D2" w:rsidRDefault="00E351D2" w:rsidP="00E351D2">
      <w:pPr>
        <w:spacing w:before="240" w:after="240" w:line="276" w:lineRule="auto"/>
        <w:ind w:right="480"/>
        <w:jc w:val="both"/>
        <w:textAlignment w:val="baseline"/>
        <w:rPr>
          <w:rFonts w:eastAsia="Times New Roman" w:cstheme="minorHAnsi"/>
          <w:color w:val="222222"/>
          <w:lang w:eastAsia="es-ES"/>
        </w:rPr>
      </w:pPr>
    </w:p>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las existencias finales del año X2: </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Mercaderías (300)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13.000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Variación de existencias de mercaderías (610)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13.000</w:t>
            </w:r>
          </w:p>
        </w:tc>
      </w:tr>
    </w:tbl>
    <w:p w:rsidR="00E351D2" w:rsidRPr="0040485C" w:rsidRDefault="00E351D2" w:rsidP="00E351D2">
      <w:pPr>
        <w:spacing w:before="240" w:after="240" w:line="276" w:lineRule="auto"/>
        <w:ind w:right="480"/>
        <w:jc w:val="both"/>
        <w:textAlignment w:val="baseline"/>
        <w:rPr>
          <w:rFonts w:eastAsia="Times New Roman" w:cstheme="minorHAnsi"/>
          <w:color w:val="222222"/>
          <w:lang w:eastAsia="es-ES"/>
        </w:rPr>
      </w:pPr>
      <w:r w:rsidRPr="0040485C">
        <w:rPr>
          <w:rFonts w:eastAsia="Times New Roman" w:cstheme="minorHAnsi"/>
          <w:color w:val="222222"/>
          <w:lang w:eastAsia="es-ES"/>
        </w:rPr>
        <w:t>Por la dotación de la provisión correspondiente al inventario final del año X2:</w:t>
      </w:r>
    </w:p>
    <w:tbl>
      <w:tblPr>
        <w:tblW w:w="4750" w:type="pct"/>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6555"/>
        <w:gridCol w:w="819"/>
        <w:gridCol w:w="819"/>
      </w:tblGrid>
      <w:tr w:rsidR="00E351D2" w:rsidRPr="0040485C" w:rsidTr="001C5752">
        <w:trPr>
          <w:jc w:val="center"/>
        </w:trPr>
        <w:tc>
          <w:tcPr>
            <w:tcW w:w="40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Concepto</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Debe</w:t>
            </w:r>
          </w:p>
        </w:tc>
        <w:tc>
          <w:tcPr>
            <w:tcW w:w="500" w:type="pct"/>
            <w:tcBorders>
              <w:top w:val="outset" w:sz="2" w:space="0" w:color="auto"/>
              <w:left w:val="outset" w:sz="2" w:space="0" w:color="auto"/>
              <w:bottom w:val="outset" w:sz="2" w:space="0" w:color="auto"/>
              <w:right w:val="single" w:sz="6" w:space="0" w:color="C8C7C7"/>
            </w:tcBorders>
            <w:shd w:val="clear" w:color="auto" w:fill="DBDBDB"/>
            <w:tcMar>
              <w:top w:w="75" w:type="dxa"/>
              <w:left w:w="60" w:type="dxa"/>
              <w:bottom w:w="75" w:type="dxa"/>
              <w:right w:w="60" w:type="dxa"/>
            </w:tcMar>
            <w:vAlign w:val="center"/>
            <w:hideMark/>
          </w:tcPr>
          <w:p w:rsidR="00E351D2" w:rsidRPr="0040485C" w:rsidRDefault="00E351D2" w:rsidP="001C5752">
            <w:pPr>
              <w:spacing w:after="0" w:line="276" w:lineRule="auto"/>
              <w:rPr>
                <w:rFonts w:eastAsia="Times New Roman" w:cstheme="minorHAnsi"/>
                <w:b/>
                <w:bCs/>
                <w:color w:val="333333"/>
                <w:lang w:eastAsia="es-ES"/>
              </w:rPr>
            </w:pPr>
            <w:r w:rsidRPr="0040485C">
              <w:rPr>
                <w:rFonts w:eastAsia="Times New Roman" w:cstheme="minorHAnsi"/>
                <w:b/>
                <w:bCs/>
                <w:color w:val="333333"/>
                <w:lang w:eastAsia="es-ES"/>
              </w:rPr>
              <w:t>Haber</w:t>
            </w:r>
          </w:p>
        </w:tc>
      </w:tr>
      <w:tr w:rsidR="00E351D2" w:rsidRPr="0040485C" w:rsidTr="001C5752">
        <w:trPr>
          <w:jc w:val="center"/>
        </w:trPr>
        <w:tc>
          <w:tcPr>
            <w:tcW w:w="40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Dotación a la provisión por depreciación de existencias (693)</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1.000</w:t>
            </w:r>
          </w:p>
        </w:tc>
        <w:tc>
          <w:tcPr>
            <w:tcW w:w="500" w:type="pct"/>
            <w:tcBorders>
              <w:top w:val="outset" w:sz="2" w:space="0" w:color="auto"/>
              <w:left w:val="outset" w:sz="2" w:space="0" w:color="auto"/>
              <w:bottom w:val="single" w:sz="6" w:space="0" w:color="C8C7C7"/>
              <w:right w:val="single" w:sz="6" w:space="0" w:color="C8C7C7"/>
            </w:tcBorders>
            <w:shd w:val="clear" w:color="auto" w:fill="EBEBEB"/>
            <w:tcMar>
              <w:top w:w="0" w:type="dxa"/>
              <w:left w:w="60" w:type="dxa"/>
              <w:bottom w:w="0" w:type="dxa"/>
              <w:right w:w="0" w:type="dxa"/>
            </w:tcMar>
            <w:vAlign w:val="center"/>
            <w:hideMark/>
          </w:tcPr>
          <w:p w:rsidR="00E351D2" w:rsidRPr="0040485C" w:rsidRDefault="00E351D2" w:rsidP="001C5752">
            <w:pPr>
              <w:spacing w:after="0" w:line="276" w:lineRule="auto"/>
              <w:rPr>
                <w:rFonts w:eastAsia="Times New Roman" w:cstheme="minorHAnsi"/>
                <w:color w:val="747474"/>
                <w:lang w:eastAsia="es-ES"/>
              </w:rPr>
            </w:pPr>
            <w:r w:rsidRPr="0040485C">
              <w:rPr>
                <w:rFonts w:eastAsia="Times New Roman" w:cstheme="minorHAnsi"/>
                <w:color w:val="747474"/>
                <w:lang w:eastAsia="es-ES"/>
              </w:rPr>
              <w:t> </w:t>
            </w:r>
          </w:p>
        </w:tc>
      </w:tr>
    </w:tbl>
    <w:p w:rsidR="004E45E8" w:rsidRDefault="004E45E8"/>
    <w:sectPr w:rsidR="004E45E8" w:rsidSect="002920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C3221"/>
    <w:multiLevelType w:val="hybridMultilevel"/>
    <w:tmpl w:val="CABAF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E351D2"/>
    <w:rsid w:val="000D0D08"/>
    <w:rsid w:val="00131E99"/>
    <w:rsid w:val="00162E54"/>
    <w:rsid w:val="00215F40"/>
    <w:rsid w:val="004E45E8"/>
    <w:rsid w:val="005E5EAC"/>
    <w:rsid w:val="00776924"/>
    <w:rsid w:val="007D1505"/>
    <w:rsid w:val="008342B8"/>
    <w:rsid w:val="008458B1"/>
    <w:rsid w:val="009366A4"/>
    <w:rsid w:val="00A94AB6"/>
    <w:rsid w:val="00BE14EE"/>
    <w:rsid w:val="00BE464F"/>
    <w:rsid w:val="00E1104E"/>
    <w:rsid w:val="00E34E22"/>
    <w:rsid w:val="00E351D2"/>
    <w:rsid w:val="00EC7C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ind w:righ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D2"/>
    <w:pPr>
      <w:spacing w:after="160" w:line="259" w:lineRule="auto"/>
      <w:ind w:right="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51D2"/>
    <w:pPr>
      <w:autoSpaceDE w:val="0"/>
      <w:autoSpaceDN w:val="0"/>
      <w:adjustRightInd w:val="0"/>
      <w:spacing w:line="240" w:lineRule="auto"/>
      <w:ind w:right="0"/>
    </w:pPr>
    <w:rPr>
      <w:rFonts w:ascii="Calibri" w:hAnsi="Calibri" w:cs="Calibri"/>
      <w:color w:val="000000"/>
      <w:sz w:val="24"/>
      <w:szCs w:val="24"/>
    </w:rPr>
  </w:style>
  <w:style w:type="paragraph" w:styleId="Prrafodelista">
    <w:name w:val="List Paragraph"/>
    <w:basedOn w:val="Normal"/>
    <w:uiPriority w:val="34"/>
    <w:qFormat/>
    <w:rsid w:val="00E35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4327</Characters>
  <Application>Microsoft Office Word</Application>
  <DocSecurity>0</DocSecurity>
  <Lines>36</Lines>
  <Paragraphs>10</Paragraphs>
  <ScaleCrop>false</ScaleCrop>
  <Company>HP</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MELGUIZO</dc:creator>
  <cp:lastModifiedBy>MARINA MELGUIZO</cp:lastModifiedBy>
  <cp:revision>1</cp:revision>
  <dcterms:created xsi:type="dcterms:W3CDTF">2018-12-12T22:45:00Z</dcterms:created>
  <dcterms:modified xsi:type="dcterms:W3CDTF">2018-12-12T22:46:00Z</dcterms:modified>
</cp:coreProperties>
</file>