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E96" w:rsidRPr="005A35D3" w:rsidRDefault="00B04E96" w:rsidP="005A35D3">
      <w:pPr>
        <w:pStyle w:val="Default"/>
        <w:spacing w:line="276" w:lineRule="auto"/>
        <w:rPr>
          <w:rFonts w:asciiTheme="minorHAnsi" w:hAnsiTheme="minorHAnsi" w:cstheme="minorHAnsi"/>
          <w:b/>
          <w:bCs/>
          <w:sz w:val="22"/>
          <w:szCs w:val="22"/>
        </w:rPr>
      </w:pPr>
      <w:r w:rsidRPr="005A35D3">
        <w:rPr>
          <w:rFonts w:asciiTheme="minorHAnsi" w:hAnsiTheme="minorHAnsi" w:cstheme="minorHAnsi"/>
          <w:b/>
          <w:bCs/>
          <w:sz w:val="22"/>
          <w:szCs w:val="22"/>
        </w:rPr>
        <w:t xml:space="preserve">TEMA 3. ACREEDORES Y DEUDORES POR OPERACIONES DE TRÁFICO </w:t>
      </w:r>
    </w:p>
    <w:p w:rsidR="00B04E96" w:rsidRPr="005A35D3" w:rsidRDefault="00B04E96" w:rsidP="005A35D3">
      <w:pPr>
        <w:pStyle w:val="Default"/>
        <w:spacing w:line="276" w:lineRule="auto"/>
        <w:rPr>
          <w:rFonts w:asciiTheme="minorHAnsi" w:hAnsiTheme="minorHAnsi" w:cstheme="minorHAnsi"/>
          <w:sz w:val="22"/>
          <w:szCs w:val="22"/>
        </w:rPr>
      </w:pPr>
    </w:p>
    <w:p w:rsidR="00B04E96" w:rsidRPr="005A35D3" w:rsidRDefault="00B04E96" w:rsidP="005A35D3">
      <w:pPr>
        <w:pStyle w:val="Default"/>
        <w:spacing w:line="276" w:lineRule="auto"/>
        <w:rPr>
          <w:rFonts w:asciiTheme="minorHAnsi" w:hAnsiTheme="minorHAnsi" w:cstheme="minorHAnsi"/>
          <w:b/>
          <w:i/>
          <w:sz w:val="22"/>
          <w:szCs w:val="22"/>
        </w:rPr>
      </w:pPr>
      <w:r w:rsidRPr="005A35D3">
        <w:rPr>
          <w:rFonts w:asciiTheme="minorHAnsi" w:hAnsiTheme="minorHAnsi" w:cstheme="minorHAnsi"/>
          <w:b/>
          <w:i/>
          <w:sz w:val="22"/>
          <w:szCs w:val="22"/>
        </w:rPr>
        <w:t xml:space="preserve">3.1. Normas de registro y valoración correspondientes. </w:t>
      </w:r>
    </w:p>
    <w:p w:rsidR="00B04E96" w:rsidRPr="005A35D3" w:rsidRDefault="00B04E96" w:rsidP="005A35D3">
      <w:pPr>
        <w:spacing w:after="0" w:line="276" w:lineRule="auto"/>
        <w:rPr>
          <w:rFonts w:cstheme="minorHAnsi"/>
        </w:rPr>
      </w:pPr>
      <w:r w:rsidRPr="005A35D3">
        <w:rPr>
          <w:rFonts w:cstheme="minorHAnsi"/>
        </w:rPr>
        <w:t>El Plan General de Contabilidad define un instrumento financiero como el contrato que da lugar a un activo financiero en una empresa y, simultáneamente, a un pasivo financiero o a un instrumento de patrimonio en otra empresa. Su desarrollo se realiza en la norma de valoración 9.</w:t>
      </w:r>
      <w:r w:rsidRPr="005A35D3">
        <w:rPr>
          <w:rFonts w:cstheme="minorHAnsi"/>
        </w:rPr>
        <w:br/>
        <w:t>En el PGC de PYMES se establecen los criterios de contabilización en las normas 8, 9, 10 y 11</w:t>
      </w:r>
      <w:r w:rsidRPr="005A35D3">
        <w:rPr>
          <w:rFonts w:cstheme="minorHAnsi"/>
        </w:rPr>
        <w:br/>
        <w:t>La norma 9 resulta de aplicación a los instrumentos financieros siguientes:</w:t>
      </w:r>
    </w:p>
    <w:p w:rsidR="00B04E96" w:rsidRPr="005A35D3" w:rsidRDefault="00B04E96" w:rsidP="005A35D3">
      <w:pPr>
        <w:spacing w:after="0" w:line="276" w:lineRule="auto"/>
        <w:rPr>
          <w:rFonts w:cstheme="minorHAnsi"/>
        </w:rPr>
      </w:pPr>
      <w:r w:rsidRPr="005A35D3">
        <w:rPr>
          <w:rFonts w:cstheme="minorHAnsi"/>
        </w:rPr>
        <w:t>a) Activos financieros: </w:t>
      </w:r>
    </w:p>
    <w:p w:rsidR="00B04E96" w:rsidRPr="005A35D3" w:rsidRDefault="00B04E96" w:rsidP="005A35D3">
      <w:pPr>
        <w:pStyle w:val="Prrafodelista"/>
        <w:numPr>
          <w:ilvl w:val="0"/>
          <w:numId w:val="1"/>
        </w:numPr>
        <w:spacing w:after="0" w:line="276" w:lineRule="auto"/>
        <w:rPr>
          <w:rFonts w:cstheme="minorHAnsi"/>
        </w:rPr>
      </w:pPr>
      <w:r w:rsidRPr="005A35D3">
        <w:rPr>
          <w:rFonts w:cstheme="minorHAnsi"/>
        </w:rPr>
        <w:t>Efectivo y otros activos líquidos equivalentes.</w:t>
      </w:r>
    </w:p>
    <w:p w:rsidR="00B04E96" w:rsidRPr="005A35D3" w:rsidRDefault="00B04E96" w:rsidP="005A35D3">
      <w:pPr>
        <w:pStyle w:val="Prrafodelista"/>
        <w:numPr>
          <w:ilvl w:val="0"/>
          <w:numId w:val="1"/>
        </w:numPr>
        <w:spacing w:after="0" w:line="276" w:lineRule="auto"/>
        <w:rPr>
          <w:rFonts w:cstheme="minorHAnsi"/>
        </w:rPr>
      </w:pPr>
      <w:r w:rsidRPr="005A35D3">
        <w:rPr>
          <w:rFonts w:cstheme="minorHAnsi"/>
        </w:rPr>
        <w:t>Créditos por operaciones comerciales: clientes y deudores varios.</w:t>
      </w:r>
    </w:p>
    <w:p w:rsidR="00B04E96" w:rsidRPr="005A35D3" w:rsidRDefault="00B04E96" w:rsidP="005A35D3">
      <w:pPr>
        <w:pStyle w:val="Prrafodelista"/>
        <w:numPr>
          <w:ilvl w:val="0"/>
          <w:numId w:val="1"/>
        </w:numPr>
        <w:spacing w:after="0" w:line="276" w:lineRule="auto"/>
        <w:rPr>
          <w:rFonts w:cstheme="minorHAnsi"/>
        </w:rPr>
      </w:pPr>
      <w:r w:rsidRPr="005A35D3">
        <w:rPr>
          <w:rFonts w:cstheme="minorHAnsi"/>
        </w:rPr>
        <w:t>Créditos a terceros.</w:t>
      </w:r>
    </w:p>
    <w:p w:rsidR="00B04E96" w:rsidRPr="005A35D3" w:rsidRDefault="00B04E96" w:rsidP="005A35D3">
      <w:pPr>
        <w:pStyle w:val="Prrafodelista"/>
        <w:numPr>
          <w:ilvl w:val="0"/>
          <w:numId w:val="1"/>
        </w:numPr>
        <w:spacing w:after="0" w:line="276" w:lineRule="auto"/>
        <w:rPr>
          <w:rFonts w:cstheme="minorHAnsi"/>
        </w:rPr>
      </w:pPr>
      <w:r w:rsidRPr="005A35D3">
        <w:rPr>
          <w:rFonts w:cstheme="minorHAnsi"/>
        </w:rPr>
        <w:t>Valores representativos de deuda de otras empresas adquiridos: tales como las obligaciones, bonos y pagarés.</w:t>
      </w:r>
    </w:p>
    <w:p w:rsidR="00B04E96" w:rsidRPr="005A35D3" w:rsidRDefault="00B04E96" w:rsidP="005A35D3">
      <w:pPr>
        <w:pStyle w:val="Prrafodelista"/>
        <w:numPr>
          <w:ilvl w:val="0"/>
          <w:numId w:val="1"/>
        </w:numPr>
        <w:spacing w:after="0" w:line="276" w:lineRule="auto"/>
        <w:rPr>
          <w:rFonts w:cstheme="minorHAnsi"/>
        </w:rPr>
      </w:pPr>
      <w:r w:rsidRPr="005A35D3">
        <w:rPr>
          <w:rFonts w:cstheme="minorHAnsi"/>
        </w:rPr>
        <w:t>Instrumentos de patrimonio de otras empresas adquiridos: acciones, participaciones en instituciones de inversión colectiva y otros instrumentos de patrimonio.</w:t>
      </w:r>
    </w:p>
    <w:p w:rsidR="00B04E96" w:rsidRPr="005A35D3" w:rsidRDefault="00B04E96" w:rsidP="005A35D3">
      <w:pPr>
        <w:pStyle w:val="Prrafodelista"/>
        <w:numPr>
          <w:ilvl w:val="0"/>
          <w:numId w:val="1"/>
        </w:numPr>
        <w:spacing w:after="0" w:line="276" w:lineRule="auto"/>
        <w:rPr>
          <w:rFonts w:cstheme="minorHAnsi"/>
        </w:rPr>
      </w:pPr>
      <w:r w:rsidRPr="005A35D3">
        <w:rPr>
          <w:rFonts w:cstheme="minorHAnsi"/>
        </w:rPr>
        <w:t>Derivados con valoración favorable para la empresa: entre ellos, futuros, opciones, permutas financieras y compraventa de moneda extranjera a plazo.</w:t>
      </w:r>
    </w:p>
    <w:p w:rsidR="00B04E96" w:rsidRPr="005A35D3" w:rsidRDefault="00B04E96" w:rsidP="005A35D3">
      <w:pPr>
        <w:pStyle w:val="Prrafodelista"/>
        <w:numPr>
          <w:ilvl w:val="0"/>
          <w:numId w:val="1"/>
        </w:numPr>
        <w:spacing w:after="0" w:line="276" w:lineRule="auto"/>
        <w:rPr>
          <w:rFonts w:cstheme="minorHAnsi"/>
        </w:rPr>
      </w:pPr>
      <w:r w:rsidRPr="005A35D3">
        <w:rPr>
          <w:rFonts w:cstheme="minorHAnsi"/>
        </w:rPr>
        <w:t>Otros activos financieros: tales como depósitos en entidades de crédito, anticipos y créditos al personal, fianzas y depósitos constituidos, dividendos a cobrar y desembolsos exigidos sobre instrumentos de patrimonio propio.</w:t>
      </w:r>
    </w:p>
    <w:p w:rsidR="00B04E96" w:rsidRPr="005A35D3" w:rsidRDefault="00B04E96" w:rsidP="005A35D3">
      <w:pPr>
        <w:spacing w:after="0" w:line="276" w:lineRule="auto"/>
        <w:rPr>
          <w:rFonts w:cstheme="minorHAnsi"/>
        </w:rPr>
      </w:pPr>
      <w:r w:rsidRPr="005A35D3">
        <w:rPr>
          <w:rFonts w:cstheme="minorHAnsi"/>
        </w:rPr>
        <w:t>b) Pasivos financieros:</w:t>
      </w:r>
    </w:p>
    <w:p w:rsidR="00B04E96" w:rsidRPr="005A35D3" w:rsidRDefault="00B04E96" w:rsidP="005A35D3">
      <w:pPr>
        <w:pStyle w:val="Prrafodelista"/>
        <w:numPr>
          <w:ilvl w:val="0"/>
          <w:numId w:val="2"/>
        </w:numPr>
        <w:spacing w:after="0" w:line="276" w:lineRule="auto"/>
        <w:rPr>
          <w:rFonts w:cstheme="minorHAnsi"/>
        </w:rPr>
      </w:pPr>
      <w:r w:rsidRPr="005A35D3">
        <w:rPr>
          <w:rFonts w:cstheme="minorHAnsi"/>
        </w:rPr>
        <w:t>Débitos por operaciones comerciales: proveedores y acreedores varios.</w:t>
      </w:r>
    </w:p>
    <w:p w:rsidR="00B04E96" w:rsidRPr="005A35D3" w:rsidRDefault="00B04E96" w:rsidP="005A35D3">
      <w:pPr>
        <w:pStyle w:val="Prrafodelista"/>
        <w:numPr>
          <w:ilvl w:val="0"/>
          <w:numId w:val="2"/>
        </w:numPr>
        <w:spacing w:after="0" w:line="276" w:lineRule="auto"/>
        <w:rPr>
          <w:rFonts w:cstheme="minorHAnsi"/>
        </w:rPr>
      </w:pPr>
      <w:r w:rsidRPr="005A35D3">
        <w:rPr>
          <w:rFonts w:cstheme="minorHAnsi"/>
        </w:rPr>
        <w:t>Deudas con entidades de crédito.</w:t>
      </w:r>
    </w:p>
    <w:p w:rsidR="00B04E96" w:rsidRPr="005A35D3" w:rsidRDefault="00B04E96" w:rsidP="005A35D3">
      <w:pPr>
        <w:pStyle w:val="Prrafodelista"/>
        <w:numPr>
          <w:ilvl w:val="0"/>
          <w:numId w:val="2"/>
        </w:numPr>
        <w:spacing w:after="0" w:line="276" w:lineRule="auto"/>
        <w:rPr>
          <w:rFonts w:cstheme="minorHAnsi"/>
        </w:rPr>
      </w:pPr>
      <w:r w:rsidRPr="005A35D3">
        <w:rPr>
          <w:rFonts w:cstheme="minorHAnsi"/>
        </w:rPr>
        <w:t>Obligaciones y otros valores negociables emitidos: tales como bonos y pagarés.</w:t>
      </w:r>
    </w:p>
    <w:p w:rsidR="00B04E96" w:rsidRPr="005A35D3" w:rsidRDefault="00B04E96" w:rsidP="005A35D3">
      <w:pPr>
        <w:pStyle w:val="Prrafodelista"/>
        <w:numPr>
          <w:ilvl w:val="0"/>
          <w:numId w:val="2"/>
        </w:numPr>
        <w:spacing w:after="0" w:line="276" w:lineRule="auto"/>
        <w:rPr>
          <w:rFonts w:cstheme="minorHAnsi"/>
        </w:rPr>
      </w:pPr>
      <w:r w:rsidRPr="005A35D3">
        <w:rPr>
          <w:rFonts w:cstheme="minorHAnsi"/>
        </w:rPr>
        <w:t>Derivados con valoración desfavorable para la empresa: entre ellos, futuros, opciones, permutas financieras y compraventa de moneda extranjera a plazo.</w:t>
      </w:r>
    </w:p>
    <w:p w:rsidR="00B04E96" w:rsidRPr="005A35D3" w:rsidRDefault="00B04E96" w:rsidP="005A35D3">
      <w:pPr>
        <w:pStyle w:val="Prrafodelista"/>
        <w:numPr>
          <w:ilvl w:val="0"/>
          <w:numId w:val="2"/>
        </w:numPr>
        <w:spacing w:after="0" w:line="276" w:lineRule="auto"/>
        <w:rPr>
          <w:rFonts w:cstheme="minorHAnsi"/>
        </w:rPr>
      </w:pPr>
      <w:r w:rsidRPr="005A35D3">
        <w:rPr>
          <w:rFonts w:cstheme="minorHAnsi"/>
        </w:rPr>
        <w:t>Deudas con características especiales.</w:t>
      </w:r>
    </w:p>
    <w:p w:rsidR="00B04E96" w:rsidRPr="005A35D3" w:rsidRDefault="00B04E96" w:rsidP="005A35D3">
      <w:pPr>
        <w:pStyle w:val="Prrafodelista"/>
        <w:numPr>
          <w:ilvl w:val="0"/>
          <w:numId w:val="2"/>
        </w:numPr>
        <w:spacing w:after="0" w:line="276" w:lineRule="auto"/>
        <w:rPr>
          <w:rFonts w:cstheme="minorHAnsi"/>
        </w:rPr>
      </w:pPr>
      <w:r w:rsidRPr="005A35D3">
        <w:rPr>
          <w:rFonts w:cstheme="minorHAnsi"/>
        </w:rPr>
        <w:t>Otros pasivos financieros: deudas con terceros, tales como los préstamos y créditos financieros recibidos de personas o empresas que no sean entidades de crédito incluidos los surgidos en la compra de activos no corrientes, fianzas y depósitos recibidos y desembolsos exigidos por terceros sobre participaciones.</w:t>
      </w:r>
    </w:p>
    <w:p w:rsidR="00B04E96" w:rsidRPr="005A35D3" w:rsidRDefault="00B04E96" w:rsidP="005A35D3">
      <w:pPr>
        <w:spacing w:after="0" w:line="276" w:lineRule="auto"/>
        <w:rPr>
          <w:rFonts w:cstheme="minorHAnsi"/>
        </w:rPr>
      </w:pPr>
      <w:r w:rsidRPr="005A35D3">
        <w:rPr>
          <w:rFonts w:cstheme="minorHAnsi"/>
        </w:rPr>
        <w:t>c) Instrumentos de patrimonio propio:</w:t>
      </w:r>
    </w:p>
    <w:p w:rsidR="00B04E96" w:rsidRPr="005A35D3" w:rsidRDefault="00B04E96" w:rsidP="005A35D3">
      <w:pPr>
        <w:spacing w:after="0" w:line="276" w:lineRule="auto"/>
        <w:rPr>
          <w:rFonts w:cstheme="minorHAnsi"/>
        </w:rPr>
      </w:pPr>
      <w:r w:rsidRPr="005A35D3">
        <w:rPr>
          <w:rFonts w:cstheme="minorHAnsi"/>
        </w:rPr>
        <w:t>Todos los instrumentos financieros que se incluyen dentro de los fondos propios, tal como las acciones ordinarias emitidas.</w:t>
      </w:r>
    </w:p>
    <w:p w:rsidR="00B04E96" w:rsidRPr="005A35D3" w:rsidRDefault="00B04E96" w:rsidP="005A35D3">
      <w:pPr>
        <w:spacing w:after="0" w:line="276" w:lineRule="auto"/>
        <w:rPr>
          <w:rFonts w:cstheme="minorHAnsi"/>
        </w:rPr>
      </w:pPr>
      <w:r w:rsidRPr="005A35D3">
        <w:rPr>
          <w:rFonts w:cstheme="minorHAnsi"/>
        </w:rPr>
        <w:t>Derivado financiero es un instrumento que cumple las siguientes características:</w:t>
      </w:r>
    </w:p>
    <w:p w:rsidR="005A35D3" w:rsidRDefault="00B04E96" w:rsidP="005A35D3">
      <w:pPr>
        <w:spacing w:after="0" w:line="276" w:lineRule="auto"/>
        <w:rPr>
          <w:rFonts w:cstheme="minorHAnsi"/>
        </w:rPr>
      </w:pPr>
      <w:r w:rsidRPr="005A35D3">
        <w:rPr>
          <w:rFonts w:cstheme="minorHAnsi"/>
        </w:rPr>
        <w:t>1.Su valor cambia en respuesta a los cambios en variables tales como los tipos de interés, los precios de instrumentos financieros y materias primas cotizadas, los tipos de cambio, las calificaciones crediticias y los índices sobre ellos y que en el caso de no ser variables financieras no han de ser específicas para una de las partes del contrato.</w:t>
      </w:r>
      <w:r w:rsidRPr="005A35D3">
        <w:rPr>
          <w:rFonts w:cstheme="minorHAnsi"/>
        </w:rPr>
        <w:br/>
        <w:t>2.No requiere una inversión inicial o bien requiere una inversión inferior a la que requieren otro tipo de contratos en los que se podría esperar una respuesta similar ante cambios en las condiciones de mercado.</w:t>
      </w:r>
      <w:r w:rsidRPr="005A35D3">
        <w:rPr>
          <w:rFonts w:cstheme="minorHAnsi"/>
        </w:rPr>
        <w:br/>
        <w:t>3.</w:t>
      </w:r>
      <w:r w:rsidR="005A35D3">
        <w:rPr>
          <w:rFonts w:cstheme="minorHAnsi"/>
        </w:rPr>
        <w:t xml:space="preserve"> Se liquida en una fecha futura</w:t>
      </w:r>
    </w:p>
    <w:p w:rsidR="00B04E96" w:rsidRPr="005A35D3" w:rsidRDefault="00B04E96" w:rsidP="005A35D3">
      <w:pPr>
        <w:spacing w:after="0" w:line="276" w:lineRule="auto"/>
        <w:rPr>
          <w:rFonts w:cstheme="minorHAnsi"/>
        </w:rPr>
      </w:pPr>
      <w:r w:rsidRPr="005A35D3">
        <w:rPr>
          <w:rFonts w:cstheme="minorHAnsi"/>
          <w:b/>
          <w:i/>
        </w:rPr>
        <w:lastRenderedPageBreak/>
        <w:t xml:space="preserve">3.2. </w:t>
      </w:r>
      <w:r w:rsidRPr="005A35D3">
        <w:rPr>
          <w:rFonts w:cstheme="minorHAnsi"/>
          <w:i/>
          <w:color w:val="0070C0"/>
        </w:rPr>
        <w:t>Descuento de efectos</w:t>
      </w:r>
      <w:r w:rsidRPr="005A35D3">
        <w:rPr>
          <w:rFonts w:cstheme="minorHAnsi"/>
          <w:b/>
          <w:i/>
        </w:rPr>
        <w:t xml:space="preserve">, </w:t>
      </w:r>
      <w:proofErr w:type="spellStart"/>
      <w:r w:rsidRPr="005A35D3">
        <w:rPr>
          <w:rFonts w:cstheme="minorHAnsi"/>
          <w:b/>
          <w:i/>
        </w:rPr>
        <w:t>factoring</w:t>
      </w:r>
      <w:proofErr w:type="spellEnd"/>
      <w:r w:rsidRPr="005A35D3">
        <w:rPr>
          <w:rFonts w:cstheme="minorHAnsi"/>
          <w:b/>
          <w:i/>
        </w:rPr>
        <w:t xml:space="preserve">, </w:t>
      </w:r>
      <w:r w:rsidRPr="005A35D3">
        <w:rPr>
          <w:rFonts w:cstheme="minorHAnsi"/>
          <w:i/>
          <w:color w:val="0070C0"/>
        </w:rPr>
        <w:t>efectos en gestión de cobro</w:t>
      </w:r>
      <w:r w:rsidRPr="005A35D3">
        <w:rPr>
          <w:rFonts w:cstheme="minorHAnsi"/>
          <w:b/>
          <w:i/>
        </w:rPr>
        <w:t xml:space="preserve">. </w:t>
      </w:r>
    </w:p>
    <w:p w:rsidR="00B04E96" w:rsidRPr="005A35D3" w:rsidRDefault="00B04E96" w:rsidP="005A35D3">
      <w:pPr>
        <w:pStyle w:val="Default"/>
        <w:spacing w:line="276" w:lineRule="auto"/>
        <w:rPr>
          <w:rFonts w:asciiTheme="minorHAnsi" w:hAnsiTheme="minorHAnsi" w:cstheme="minorHAnsi"/>
          <w:b/>
          <w:i/>
          <w:sz w:val="22"/>
          <w:szCs w:val="22"/>
        </w:rPr>
      </w:pPr>
      <w:r w:rsidRPr="005A35D3">
        <w:rPr>
          <w:rFonts w:asciiTheme="minorHAnsi" w:hAnsiTheme="minorHAnsi" w:cstheme="minorHAnsi"/>
          <w:b/>
          <w:i/>
          <w:sz w:val="22"/>
          <w:szCs w:val="22"/>
        </w:rPr>
        <w:t>3.2.1 Descuento de efectos</w:t>
      </w:r>
    </w:p>
    <w:p w:rsidR="00B04E96" w:rsidRPr="005A35D3" w:rsidRDefault="00B04E96" w:rsidP="005A35D3">
      <w:pPr>
        <w:spacing w:after="0" w:line="276" w:lineRule="auto"/>
        <w:rPr>
          <w:rFonts w:cstheme="minorHAnsi"/>
        </w:rPr>
      </w:pPr>
      <w:r w:rsidRPr="005A35D3">
        <w:rPr>
          <w:rFonts w:cstheme="minorHAnsi"/>
        </w:rPr>
        <w:t>El descuento bancario es una operación financiera que consiste en la presentación de un título de crédito en una entidad financiera para que esta anticipe su importe y gestione su cobro. El tenedor cede el título al banco y este le abona su importe en dinero, descontando el importe de las cantidades cobradas por los servicios prestados.</w:t>
      </w:r>
    </w:p>
    <w:p w:rsidR="00B04E96" w:rsidRPr="005A35D3" w:rsidRDefault="00B04E96" w:rsidP="005A35D3">
      <w:pPr>
        <w:spacing w:after="0" w:line="276" w:lineRule="auto"/>
        <w:rPr>
          <w:rFonts w:cstheme="minorHAnsi"/>
        </w:rPr>
      </w:pPr>
      <w:r w:rsidRPr="005A35D3">
        <w:rPr>
          <w:rFonts w:cstheme="minorHAnsi"/>
        </w:rPr>
        <w:t>Según el título de crédito presentado a descuento, distinguimos:</w:t>
      </w:r>
    </w:p>
    <w:p w:rsidR="00B04E96" w:rsidRPr="005A35D3" w:rsidRDefault="00B04E96" w:rsidP="005A35D3">
      <w:pPr>
        <w:pStyle w:val="Prrafodelista"/>
        <w:numPr>
          <w:ilvl w:val="0"/>
          <w:numId w:val="3"/>
        </w:numPr>
        <w:spacing w:after="0" w:line="276" w:lineRule="auto"/>
        <w:rPr>
          <w:rFonts w:cstheme="minorHAnsi"/>
        </w:rPr>
      </w:pPr>
      <w:r w:rsidRPr="005A35D3">
        <w:rPr>
          <w:rFonts w:cstheme="minorHAnsi"/>
        </w:rPr>
        <w:t>Descuento bancario, cuando el título es una letra de cambio.</w:t>
      </w:r>
    </w:p>
    <w:p w:rsidR="00B04E96" w:rsidRPr="005A35D3" w:rsidRDefault="00B04E96" w:rsidP="005A35D3">
      <w:pPr>
        <w:pStyle w:val="Prrafodelista"/>
        <w:numPr>
          <w:ilvl w:val="0"/>
          <w:numId w:val="4"/>
        </w:numPr>
        <w:spacing w:after="0" w:line="276" w:lineRule="auto"/>
        <w:ind w:left="1560" w:hanging="284"/>
        <w:rPr>
          <w:rFonts w:cstheme="minorHAnsi"/>
        </w:rPr>
      </w:pPr>
      <w:r w:rsidRPr="005A35D3">
        <w:rPr>
          <w:rFonts w:cstheme="minorHAnsi"/>
        </w:rPr>
        <w:t>Descuento comercial. Cuando las letras proceden de una venta o de una prestación de servicios que constituyen la actividad habitual del cedente.</w:t>
      </w:r>
    </w:p>
    <w:p w:rsidR="00B04E96" w:rsidRPr="005A35D3" w:rsidRDefault="00B04E96" w:rsidP="005A35D3">
      <w:pPr>
        <w:pStyle w:val="Prrafodelista"/>
        <w:numPr>
          <w:ilvl w:val="0"/>
          <w:numId w:val="4"/>
        </w:numPr>
        <w:spacing w:after="0" w:line="276" w:lineRule="auto"/>
        <w:ind w:left="1560" w:hanging="284"/>
        <w:rPr>
          <w:rFonts w:cstheme="minorHAnsi"/>
        </w:rPr>
      </w:pPr>
      <w:r w:rsidRPr="005A35D3">
        <w:rPr>
          <w:rFonts w:cstheme="minorHAnsi"/>
        </w:rPr>
        <w:t>Descuento financiero. Cuando las letras son la instrumentalización de un préstamo concedido por el banco a su cliente.</w:t>
      </w:r>
    </w:p>
    <w:p w:rsidR="00B04E96" w:rsidRPr="005A35D3" w:rsidRDefault="00B04E96" w:rsidP="005A35D3">
      <w:pPr>
        <w:pStyle w:val="Prrafodelista"/>
        <w:numPr>
          <w:ilvl w:val="0"/>
          <w:numId w:val="5"/>
        </w:numPr>
        <w:spacing w:after="0" w:line="276" w:lineRule="auto"/>
        <w:rPr>
          <w:rFonts w:cstheme="minorHAnsi"/>
        </w:rPr>
      </w:pPr>
      <w:r w:rsidRPr="005A35D3">
        <w:rPr>
          <w:rFonts w:cstheme="minorHAnsi"/>
        </w:rPr>
        <w:t>Descuento no cambiario, cuando se trata de cualquier otro derecho de cobro (pagarés, certificaciones de obra, facturas, recibos).</w:t>
      </w:r>
    </w:p>
    <w:p w:rsidR="00B04E96" w:rsidRPr="005A35D3" w:rsidRDefault="00B04E96" w:rsidP="005A35D3">
      <w:pPr>
        <w:spacing w:after="0" w:line="276" w:lineRule="auto"/>
        <w:rPr>
          <w:rFonts w:cstheme="minorHAnsi"/>
          <w:b/>
          <w:u w:val="single"/>
        </w:rPr>
      </w:pPr>
      <w:r w:rsidRPr="005A35D3">
        <w:rPr>
          <w:rFonts w:cstheme="minorHAnsi"/>
          <w:b/>
          <w:u w:val="single"/>
        </w:rPr>
        <w:t>Según la NRV 9:</w:t>
      </w:r>
    </w:p>
    <w:p w:rsidR="00B04E96" w:rsidRPr="005A35D3" w:rsidRDefault="00B04E96" w:rsidP="005A35D3">
      <w:pPr>
        <w:spacing w:after="0" w:line="276" w:lineRule="auto"/>
        <w:rPr>
          <w:rFonts w:cstheme="minorHAnsi"/>
        </w:rPr>
      </w:pPr>
      <w:r w:rsidRPr="005A35D3">
        <w:rPr>
          <w:rFonts w:cstheme="minorHAnsi"/>
          <w:u w:val="single"/>
        </w:rPr>
        <w:t>Inicialmente</w:t>
      </w:r>
      <w:r w:rsidRPr="005A35D3">
        <w:rPr>
          <w:rFonts w:cstheme="minorHAnsi"/>
        </w:rPr>
        <w:t>: Los pasivos financieros incluidos en esta categoría se valorarán inicialmente por el coste, que equivaldrá al valor razonable de la contraprestación recibida ajustado por los costes de transacción que les sean directamente atribuibles; no obstante, estos últimos, así como las comisiones financieras que se carguen a la empresa cuando se originen las deudas con terceros, podrán registrarse en la cuenta de pérdidas y ganancias en el momento de su reconocimiento inicial.</w:t>
      </w:r>
    </w:p>
    <w:p w:rsidR="00B04E96" w:rsidRPr="005A35D3" w:rsidRDefault="00B04E96" w:rsidP="005A35D3">
      <w:pPr>
        <w:spacing w:after="0" w:line="276" w:lineRule="auto"/>
        <w:rPr>
          <w:rFonts w:cstheme="minorHAnsi"/>
        </w:rPr>
      </w:pPr>
      <w:r w:rsidRPr="005A35D3">
        <w:rPr>
          <w:rFonts w:cstheme="minorHAnsi"/>
          <w:u w:val="single"/>
        </w:rPr>
        <w:t>Valoración posterior</w:t>
      </w:r>
      <w:r w:rsidRPr="005A35D3">
        <w:rPr>
          <w:rFonts w:cstheme="minorHAnsi"/>
        </w:rPr>
        <w:t>: Los pasivos financieros incluidos en esta categoría se valorarán por su coste amortizado. Los intereses devengados se contabilizarán en la cuenta de pérdidas y ganancias, aplicando el método del tipo de interés efectivo.                                                                                                                                                                                              Las aportaciones recibidas como consecuencia de un contrato de cuentas en participación y similares, se valorarán al coste, incrementado o disminuido por el beneficio o la pérdida, respectivamente, que deba atribuirse a los partícipes no gestores.                                                                                                                                                                                     No obstante, lo anterior, los débitos con vencimiento no superior a un año que, de acuerdo con lo dispuesto en el apartado anterior, se valoren inicialmente por su valor nominal, continuarán valorándose por dicho importe.</w:t>
      </w:r>
    </w:p>
    <w:p w:rsidR="00B04E96" w:rsidRPr="005A35D3" w:rsidRDefault="00B04E96" w:rsidP="005A35D3">
      <w:pPr>
        <w:spacing w:after="0" w:line="276" w:lineRule="auto"/>
        <w:rPr>
          <w:rFonts w:cstheme="minorHAnsi"/>
        </w:rPr>
      </w:pPr>
    </w:p>
    <w:p w:rsidR="00B04E96" w:rsidRPr="005A35D3" w:rsidRDefault="00B04E96" w:rsidP="005A35D3">
      <w:pPr>
        <w:spacing w:after="0" w:line="276" w:lineRule="auto"/>
        <w:rPr>
          <w:rFonts w:cstheme="minorHAnsi"/>
        </w:rPr>
      </w:pPr>
      <w:r w:rsidRPr="005A35D3">
        <w:rPr>
          <w:rFonts w:cstheme="minorHAnsi"/>
          <w:b/>
        </w:rPr>
        <w:t>Ejemplo 1.-</w:t>
      </w:r>
      <w:r w:rsidRPr="005A35D3">
        <w:rPr>
          <w:rFonts w:cstheme="minorHAnsi"/>
        </w:rPr>
        <w:t xml:space="preserve"> La empresa envía al descuento, el día 1/03/01 una letra de 5.000€, que vence el 30/05/01. Los intereses ascendieron a 120€ y la comisión a 30€. El librado abona la letra a su vencimiento.</w:t>
      </w:r>
    </w:p>
    <w:p w:rsidR="00B04E96" w:rsidRPr="005A35D3" w:rsidRDefault="00B04E96" w:rsidP="005A35D3">
      <w:pPr>
        <w:spacing w:after="0" w:line="276" w:lineRule="auto"/>
        <w:rPr>
          <w:rFonts w:cstheme="minorHAnsi"/>
          <w:i/>
        </w:rPr>
      </w:pPr>
      <w:r w:rsidRPr="005A35D3">
        <w:rPr>
          <w:rFonts w:cstheme="minorHAnsi"/>
          <w:i/>
        </w:rPr>
        <w:t>Opción A (norma general)</w:t>
      </w:r>
    </w:p>
    <w:tbl>
      <w:tblPr>
        <w:tblStyle w:val="Tablaconcuadrcula"/>
        <w:tblW w:w="0" w:type="auto"/>
        <w:tblLook w:val="04A0"/>
      </w:tblPr>
      <w:tblGrid>
        <w:gridCol w:w="1242"/>
        <w:gridCol w:w="851"/>
        <w:gridCol w:w="4111"/>
        <w:gridCol w:w="1275"/>
        <w:gridCol w:w="1165"/>
      </w:tblGrid>
      <w:tr w:rsidR="00B04E96" w:rsidRPr="005A35D3" w:rsidTr="00045BD0">
        <w:tc>
          <w:tcPr>
            <w:tcW w:w="1242" w:type="dxa"/>
          </w:tcPr>
          <w:p w:rsidR="00B04E96" w:rsidRPr="005A35D3" w:rsidRDefault="00B04E96" w:rsidP="005A35D3">
            <w:pPr>
              <w:spacing w:line="276" w:lineRule="auto"/>
              <w:rPr>
                <w:rFonts w:cstheme="minorHAnsi"/>
              </w:rPr>
            </w:pPr>
            <w:r w:rsidRPr="005A35D3">
              <w:rPr>
                <w:rFonts w:cstheme="minorHAnsi"/>
              </w:rPr>
              <w:t>5000 €</w:t>
            </w:r>
          </w:p>
        </w:tc>
        <w:tc>
          <w:tcPr>
            <w:tcW w:w="851" w:type="dxa"/>
          </w:tcPr>
          <w:p w:rsidR="00B04E96" w:rsidRPr="005A35D3" w:rsidRDefault="00B04E96" w:rsidP="005A35D3">
            <w:pPr>
              <w:spacing w:line="276" w:lineRule="auto"/>
              <w:rPr>
                <w:rFonts w:cstheme="minorHAnsi"/>
              </w:rPr>
            </w:pPr>
            <w:r w:rsidRPr="005A35D3">
              <w:rPr>
                <w:rFonts w:cstheme="minorHAnsi"/>
              </w:rPr>
              <w:t>4311</w:t>
            </w:r>
          </w:p>
        </w:tc>
        <w:tc>
          <w:tcPr>
            <w:tcW w:w="4111" w:type="dxa"/>
          </w:tcPr>
          <w:p w:rsidR="00B04E96" w:rsidRPr="005A35D3" w:rsidRDefault="00B04E96" w:rsidP="005A35D3">
            <w:pPr>
              <w:spacing w:line="276" w:lineRule="auto"/>
              <w:rPr>
                <w:rFonts w:cstheme="minorHAnsi"/>
              </w:rPr>
            </w:pPr>
            <w:r w:rsidRPr="005A35D3">
              <w:rPr>
                <w:rFonts w:cstheme="minorHAnsi"/>
              </w:rPr>
              <w:t>01/03/01</w:t>
            </w:r>
          </w:p>
        </w:tc>
        <w:tc>
          <w:tcPr>
            <w:tcW w:w="1275" w:type="dxa"/>
          </w:tcPr>
          <w:p w:rsidR="00B04E96" w:rsidRPr="005A35D3" w:rsidRDefault="00B04E96" w:rsidP="005A35D3">
            <w:pPr>
              <w:spacing w:line="276" w:lineRule="auto"/>
              <w:rPr>
                <w:rFonts w:cstheme="minorHAnsi"/>
              </w:rPr>
            </w:pPr>
            <w:r w:rsidRPr="005A35D3">
              <w:rPr>
                <w:rFonts w:cstheme="minorHAnsi"/>
              </w:rPr>
              <w:t>4310</w:t>
            </w:r>
          </w:p>
        </w:tc>
        <w:tc>
          <w:tcPr>
            <w:tcW w:w="1165" w:type="dxa"/>
          </w:tcPr>
          <w:p w:rsidR="00B04E96" w:rsidRPr="005A35D3" w:rsidRDefault="00B04E96" w:rsidP="005A35D3">
            <w:pPr>
              <w:spacing w:line="276" w:lineRule="auto"/>
              <w:rPr>
                <w:rFonts w:cstheme="minorHAnsi"/>
              </w:rPr>
            </w:pPr>
            <w:r w:rsidRPr="005A35D3">
              <w:rPr>
                <w:rFonts w:cstheme="minorHAnsi"/>
              </w:rPr>
              <w:t>5000 €</w:t>
            </w:r>
          </w:p>
        </w:tc>
      </w:tr>
      <w:tr w:rsidR="00B04E96" w:rsidRPr="005A35D3" w:rsidTr="00045BD0">
        <w:tc>
          <w:tcPr>
            <w:tcW w:w="1242" w:type="dxa"/>
          </w:tcPr>
          <w:p w:rsidR="00B04E96" w:rsidRPr="005A35D3" w:rsidRDefault="00B04E96" w:rsidP="005A35D3">
            <w:pPr>
              <w:spacing w:line="276" w:lineRule="auto"/>
              <w:rPr>
                <w:rFonts w:cstheme="minorHAnsi"/>
              </w:rPr>
            </w:pPr>
            <w:r w:rsidRPr="005A35D3">
              <w:rPr>
                <w:rFonts w:cstheme="minorHAnsi"/>
              </w:rPr>
              <w:t>4850 €</w:t>
            </w:r>
          </w:p>
        </w:tc>
        <w:tc>
          <w:tcPr>
            <w:tcW w:w="851" w:type="dxa"/>
          </w:tcPr>
          <w:p w:rsidR="00B04E96" w:rsidRPr="005A35D3" w:rsidRDefault="00B04E96" w:rsidP="005A35D3">
            <w:pPr>
              <w:spacing w:line="276" w:lineRule="auto"/>
              <w:rPr>
                <w:rFonts w:cstheme="minorHAnsi"/>
              </w:rPr>
            </w:pPr>
            <w:r w:rsidRPr="005A35D3">
              <w:rPr>
                <w:rFonts w:cstheme="minorHAnsi"/>
              </w:rPr>
              <w:t>572</w:t>
            </w:r>
          </w:p>
        </w:tc>
        <w:tc>
          <w:tcPr>
            <w:tcW w:w="4111" w:type="dxa"/>
          </w:tcPr>
          <w:p w:rsidR="00B04E96" w:rsidRPr="005A35D3" w:rsidRDefault="00B04E96" w:rsidP="005A35D3">
            <w:pPr>
              <w:spacing w:line="276" w:lineRule="auto"/>
              <w:rPr>
                <w:rFonts w:cstheme="minorHAnsi"/>
              </w:rPr>
            </w:pPr>
            <w:r w:rsidRPr="005A35D3">
              <w:rPr>
                <w:rFonts w:cstheme="minorHAnsi"/>
              </w:rPr>
              <w:t>01/03/01</w:t>
            </w:r>
          </w:p>
        </w:tc>
        <w:tc>
          <w:tcPr>
            <w:tcW w:w="1275" w:type="dxa"/>
          </w:tcPr>
          <w:p w:rsidR="00B04E96" w:rsidRPr="005A35D3" w:rsidRDefault="00B04E96" w:rsidP="005A35D3">
            <w:pPr>
              <w:spacing w:line="276" w:lineRule="auto"/>
              <w:rPr>
                <w:rFonts w:cstheme="minorHAnsi"/>
              </w:rPr>
            </w:pPr>
            <w:r w:rsidRPr="005A35D3">
              <w:rPr>
                <w:rFonts w:cstheme="minorHAnsi"/>
              </w:rPr>
              <w:t>5208</w:t>
            </w:r>
          </w:p>
        </w:tc>
        <w:tc>
          <w:tcPr>
            <w:tcW w:w="1165" w:type="dxa"/>
          </w:tcPr>
          <w:p w:rsidR="00B04E96" w:rsidRPr="005A35D3" w:rsidRDefault="00B04E96" w:rsidP="005A35D3">
            <w:pPr>
              <w:spacing w:line="276" w:lineRule="auto"/>
              <w:rPr>
                <w:rFonts w:cstheme="minorHAnsi"/>
              </w:rPr>
            </w:pPr>
            <w:r w:rsidRPr="005A35D3">
              <w:rPr>
                <w:rFonts w:cstheme="minorHAnsi"/>
              </w:rPr>
              <w:t>4850 €</w:t>
            </w:r>
          </w:p>
        </w:tc>
      </w:tr>
      <w:tr w:rsidR="00B04E96" w:rsidRPr="005A35D3" w:rsidTr="00045BD0">
        <w:tc>
          <w:tcPr>
            <w:tcW w:w="1242" w:type="dxa"/>
          </w:tcPr>
          <w:p w:rsidR="00B04E96" w:rsidRPr="005A35D3" w:rsidRDefault="00B04E96" w:rsidP="005A35D3">
            <w:pPr>
              <w:spacing w:line="276" w:lineRule="auto"/>
              <w:rPr>
                <w:rFonts w:cstheme="minorHAnsi"/>
              </w:rPr>
            </w:pPr>
            <w:r w:rsidRPr="005A35D3">
              <w:rPr>
                <w:rFonts w:cstheme="minorHAnsi"/>
              </w:rPr>
              <w:t>150 €</w:t>
            </w:r>
          </w:p>
        </w:tc>
        <w:tc>
          <w:tcPr>
            <w:tcW w:w="851" w:type="dxa"/>
          </w:tcPr>
          <w:p w:rsidR="00B04E96" w:rsidRPr="005A35D3" w:rsidRDefault="00B04E96" w:rsidP="005A35D3">
            <w:pPr>
              <w:spacing w:line="276" w:lineRule="auto"/>
              <w:rPr>
                <w:rFonts w:cstheme="minorHAnsi"/>
              </w:rPr>
            </w:pPr>
            <w:r w:rsidRPr="005A35D3">
              <w:rPr>
                <w:rFonts w:cstheme="minorHAnsi"/>
              </w:rPr>
              <w:t>665</w:t>
            </w:r>
          </w:p>
        </w:tc>
        <w:tc>
          <w:tcPr>
            <w:tcW w:w="4111" w:type="dxa"/>
          </w:tcPr>
          <w:p w:rsidR="00B04E96" w:rsidRPr="005A35D3" w:rsidRDefault="00B04E96" w:rsidP="005A35D3">
            <w:pPr>
              <w:spacing w:line="276" w:lineRule="auto"/>
              <w:rPr>
                <w:rFonts w:cstheme="minorHAnsi"/>
              </w:rPr>
            </w:pPr>
            <w:r w:rsidRPr="005A35D3">
              <w:rPr>
                <w:rFonts w:cstheme="minorHAnsi"/>
              </w:rPr>
              <w:t>30/05/01 por la imputación de intereses</w:t>
            </w:r>
          </w:p>
        </w:tc>
        <w:tc>
          <w:tcPr>
            <w:tcW w:w="1275" w:type="dxa"/>
          </w:tcPr>
          <w:p w:rsidR="00B04E96" w:rsidRPr="005A35D3" w:rsidRDefault="00B04E96" w:rsidP="005A35D3">
            <w:pPr>
              <w:spacing w:line="276" w:lineRule="auto"/>
              <w:rPr>
                <w:rFonts w:cstheme="minorHAnsi"/>
              </w:rPr>
            </w:pPr>
            <w:r w:rsidRPr="005A35D3">
              <w:rPr>
                <w:rFonts w:cstheme="minorHAnsi"/>
              </w:rPr>
              <w:t>5208</w:t>
            </w:r>
          </w:p>
        </w:tc>
        <w:tc>
          <w:tcPr>
            <w:tcW w:w="1165" w:type="dxa"/>
          </w:tcPr>
          <w:p w:rsidR="00B04E96" w:rsidRPr="005A35D3" w:rsidRDefault="00B04E96" w:rsidP="005A35D3">
            <w:pPr>
              <w:spacing w:line="276" w:lineRule="auto"/>
              <w:rPr>
                <w:rFonts w:cstheme="minorHAnsi"/>
              </w:rPr>
            </w:pPr>
            <w:r w:rsidRPr="005A35D3">
              <w:rPr>
                <w:rFonts w:cstheme="minorHAnsi"/>
              </w:rPr>
              <w:t>150 €</w:t>
            </w:r>
          </w:p>
        </w:tc>
      </w:tr>
      <w:tr w:rsidR="00B04E96" w:rsidRPr="005A35D3" w:rsidTr="00045BD0">
        <w:tc>
          <w:tcPr>
            <w:tcW w:w="1242" w:type="dxa"/>
          </w:tcPr>
          <w:p w:rsidR="00B04E96" w:rsidRPr="005A35D3" w:rsidRDefault="00B04E96" w:rsidP="005A35D3">
            <w:pPr>
              <w:spacing w:line="276" w:lineRule="auto"/>
              <w:rPr>
                <w:rFonts w:cstheme="minorHAnsi"/>
              </w:rPr>
            </w:pPr>
            <w:r w:rsidRPr="005A35D3">
              <w:rPr>
                <w:rFonts w:cstheme="minorHAnsi"/>
              </w:rPr>
              <w:t>5000 €</w:t>
            </w:r>
          </w:p>
        </w:tc>
        <w:tc>
          <w:tcPr>
            <w:tcW w:w="851" w:type="dxa"/>
          </w:tcPr>
          <w:p w:rsidR="00B04E96" w:rsidRPr="005A35D3" w:rsidRDefault="00B04E96" w:rsidP="005A35D3">
            <w:pPr>
              <w:spacing w:line="276" w:lineRule="auto"/>
              <w:rPr>
                <w:rFonts w:cstheme="minorHAnsi"/>
              </w:rPr>
            </w:pPr>
            <w:r w:rsidRPr="005A35D3">
              <w:rPr>
                <w:rFonts w:cstheme="minorHAnsi"/>
              </w:rPr>
              <w:t>5208</w:t>
            </w:r>
          </w:p>
        </w:tc>
        <w:tc>
          <w:tcPr>
            <w:tcW w:w="4111" w:type="dxa"/>
          </w:tcPr>
          <w:p w:rsidR="00B04E96" w:rsidRPr="005A35D3" w:rsidRDefault="00B04E96" w:rsidP="005A35D3">
            <w:pPr>
              <w:spacing w:line="276" w:lineRule="auto"/>
              <w:rPr>
                <w:rFonts w:cstheme="minorHAnsi"/>
              </w:rPr>
            </w:pPr>
            <w:r w:rsidRPr="005A35D3">
              <w:rPr>
                <w:rFonts w:cstheme="minorHAnsi"/>
              </w:rPr>
              <w:t>30/05/01 por el pago del librado</w:t>
            </w:r>
          </w:p>
        </w:tc>
        <w:tc>
          <w:tcPr>
            <w:tcW w:w="1275" w:type="dxa"/>
          </w:tcPr>
          <w:p w:rsidR="00B04E96" w:rsidRPr="005A35D3" w:rsidRDefault="00B04E96" w:rsidP="005A35D3">
            <w:pPr>
              <w:spacing w:line="276" w:lineRule="auto"/>
              <w:rPr>
                <w:rFonts w:cstheme="minorHAnsi"/>
              </w:rPr>
            </w:pPr>
            <w:r w:rsidRPr="005A35D3">
              <w:rPr>
                <w:rFonts w:cstheme="minorHAnsi"/>
              </w:rPr>
              <w:t>4311</w:t>
            </w:r>
          </w:p>
        </w:tc>
        <w:tc>
          <w:tcPr>
            <w:tcW w:w="1165" w:type="dxa"/>
          </w:tcPr>
          <w:p w:rsidR="00B04E96" w:rsidRPr="005A35D3" w:rsidRDefault="00B04E96" w:rsidP="005A35D3">
            <w:pPr>
              <w:spacing w:line="276" w:lineRule="auto"/>
              <w:rPr>
                <w:rFonts w:cstheme="minorHAnsi"/>
              </w:rPr>
            </w:pPr>
            <w:r w:rsidRPr="005A35D3">
              <w:rPr>
                <w:rFonts w:cstheme="minorHAnsi"/>
              </w:rPr>
              <w:t>5000 €</w:t>
            </w:r>
          </w:p>
        </w:tc>
      </w:tr>
    </w:tbl>
    <w:p w:rsidR="00B04E96" w:rsidRPr="005A35D3" w:rsidRDefault="00B04E96" w:rsidP="005A35D3">
      <w:pPr>
        <w:spacing w:after="0" w:line="276" w:lineRule="auto"/>
        <w:rPr>
          <w:rFonts w:cstheme="minorHAnsi"/>
        </w:rPr>
      </w:pPr>
    </w:p>
    <w:p w:rsidR="00B04E96" w:rsidRPr="005A35D3" w:rsidRDefault="00B04E96" w:rsidP="005A35D3">
      <w:pPr>
        <w:spacing w:after="0" w:line="276" w:lineRule="auto"/>
        <w:rPr>
          <w:rFonts w:cstheme="minorHAnsi"/>
          <w:i/>
        </w:rPr>
      </w:pPr>
      <w:r w:rsidRPr="005A35D3">
        <w:rPr>
          <w:rFonts w:cstheme="minorHAnsi"/>
          <w:i/>
        </w:rPr>
        <w:t>Opción B (para vencimientos a corto plazo)</w:t>
      </w:r>
    </w:p>
    <w:p w:rsidR="00B04E96" w:rsidRPr="005A35D3" w:rsidRDefault="00B04E96" w:rsidP="005A35D3">
      <w:pPr>
        <w:spacing w:after="0" w:line="276" w:lineRule="auto"/>
        <w:rPr>
          <w:rFonts w:cstheme="minorHAnsi"/>
        </w:rPr>
      </w:pPr>
      <w:r w:rsidRPr="005A35D3">
        <w:rPr>
          <w:rFonts w:cstheme="minorHAnsi"/>
        </w:rPr>
        <w:t xml:space="preserve">Inicialmente: los débitos por operaciones comerciales con vencimiento no superior a un año y que no tengan un tipo de interés contractual, así como las fianzas y los desembolsos exigidos por terceros sobre participaciones, cuyo importe se espera pagar en el corto plazo, se podrán </w:t>
      </w:r>
      <w:r w:rsidRPr="005A35D3">
        <w:rPr>
          <w:rFonts w:cstheme="minorHAnsi"/>
        </w:rPr>
        <w:lastRenderedPageBreak/>
        <w:t>valorar por su valor nominal, cuando el efecto de no actualizar los flujos de efectivo no sea significativo.</w:t>
      </w:r>
    </w:p>
    <w:tbl>
      <w:tblPr>
        <w:tblStyle w:val="Tablaconcuadrcula"/>
        <w:tblW w:w="0" w:type="auto"/>
        <w:tblLook w:val="04A0"/>
      </w:tblPr>
      <w:tblGrid>
        <w:gridCol w:w="1242"/>
        <w:gridCol w:w="993"/>
        <w:gridCol w:w="3969"/>
        <w:gridCol w:w="1275"/>
        <w:gridCol w:w="1165"/>
      </w:tblGrid>
      <w:tr w:rsidR="00B04E96" w:rsidRPr="005A35D3" w:rsidTr="00045BD0">
        <w:tc>
          <w:tcPr>
            <w:tcW w:w="1242" w:type="dxa"/>
          </w:tcPr>
          <w:p w:rsidR="00B04E96" w:rsidRPr="005A35D3" w:rsidRDefault="00B04E96" w:rsidP="005A35D3">
            <w:pPr>
              <w:spacing w:line="276" w:lineRule="auto"/>
              <w:rPr>
                <w:rFonts w:cstheme="minorHAnsi"/>
              </w:rPr>
            </w:pPr>
            <w:r w:rsidRPr="005A35D3">
              <w:rPr>
                <w:rFonts w:cstheme="minorHAnsi"/>
              </w:rPr>
              <w:t>5000 €</w:t>
            </w:r>
          </w:p>
        </w:tc>
        <w:tc>
          <w:tcPr>
            <w:tcW w:w="993" w:type="dxa"/>
          </w:tcPr>
          <w:p w:rsidR="00B04E96" w:rsidRPr="005A35D3" w:rsidRDefault="00B04E96" w:rsidP="005A35D3">
            <w:pPr>
              <w:spacing w:line="276" w:lineRule="auto"/>
              <w:rPr>
                <w:rFonts w:cstheme="minorHAnsi"/>
              </w:rPr>
            </w:pPr>
            <w:r w:rsidRPr="005A35D3">
              <w:rPr>
                <w:rFonts w:cstheme="minorHAnsi"/>
              </w:rPr>
              <w:t>4311</w:t>
            </w:r>
          </w:p>
        </w:tc>
        <w:tc>
          <w:tcPr>
            <w:tcW w:w="3969" w:type="dxa"/>
          </w:tcPr>
          <w:p w:rsidR="00B04E96" w:rsidRPr="005A35D3" w:rsidRDefault="00B04E96" w:rsidP="005A35D3">
            <w:pPr>
              <w:spacing w:line="276" w:lineRule="auto"/>
              <w:jc w:val="center"/>
              <w:rPr>
                <w:rFonts w:cstheme="minorHAnsi"/>
              </w:rPr>
            </w:pPr>
            <w:r w:rsidRPr="005A35D3">
              <w:rPr>
                <w:rFonts w:cstheme="minorHAnsi"/>
              </w:rPr>
              <w:t>01/03/01</w:t>
            </w:r>
          </w:p>
        </w:tc>
        <w:tc>
          <w:tcPr>
            <w:tcW w:w="1275" w:type="dxa"/>
          </w:tcPr>
          <w:p w:rsidR="00B04E96" w:rsidRPr="005A35D3" w:rsidRDefault="00B04E96" w:rsidP="005A35D3">
            <w:pPr>
              <w:spacing w:line="276" w:lineRule="auto"/>
              <w:rPr>
                <w:rFonts w:cstheme="minorHAnsi"/>
              </w:rPr>
            </w:pPr>
            <w:r w:rsidRPr="005A35D3">
              <w:rPr>
                <w:rFonts w:cstheme="minorHAnsi"/>
              </w:rPr>
              <w:t>4310</w:t>
            </w:r>
          </w:p>
        </w:tc>
        <w:tc>
          <w:tcPr>
            <w:tcW w:w="1165" w:type="dxa"/>
          </w:tcPr>
          <w:p w:rsidR="00B04E96" w:rsidRPr="005A35D3" w:rsidRDefault="00B04E96" w:rsidP="005A35D3">
            <w:pPr>
              <w:spacing w:line="276" w:lineRule="auto"/>
              <w:rPr>
                <w:rFonts w:cstheme="minorHAnsi"/>
              </w:rPr>
            </w:pPr>
            <w:r w:rsidRPr="005A35D3">
              <w:rPr>
                <w:rFonts w:cstheme="minorHAnsi"/>
              </w:rPr>
              <w:t>5000 €</w:t>
            </w:r>
          </w:p>
        </w:tc>
      </w:tr>
      <w:tr w:rsidR="00B04E96" w:rsidRPr="005A35D3" w:rsidTr="00045BD0">
        <w:tc>
          <w:tcPr>
            <w:tcW w:w="1242" w:type="dxa"/>
          </w:tcPr>
          <w:p w:rsidR="00B04E96" w:rsidRPr="005A35D3" w:rsidRDefault="00B04E96" w:rsidP="005A35D3">
            <w:pPr>
              <w:spacing w:line="276" w:lineRule="auto"/>
              <w:rPr>
                <w:rFonts w:cstheme="minorHAnsi"/>
              </w:rPr>
            </w:pPr>
            <w:r w:rsidRPr="005A35D3">
              <w:rPr>
                <w:rFonts w:cstheme="minorHAnsi"/>
              </w:rPr>
              <w:t>4850 €</w:t>
            </w:r>
          </w:p>
          <w:p w:rsidR="00B04E96" w:rsidRPr="005A35D3" w:rsidRDefault="00B04E96" w:rsidP="005A35D3">
            <w:pPr>
              <w:spacing w:line="276" w:lineRule="auto"/>
              <w:rPr>
                <w:rFonts w:cstheme="minorHAnsi"/>
              </w:rPr>
            </w:pPr>
            <w:r w:rsidRPr="005A35D3">
              <w:rPr>
                <w:rFonts w:cstheme="minorHAnsi"/>
              </w:rPr>
              <w:t>150 €</w:t>
            </w:r>
          </w:p>
        </w:tc>
        <w:tc>
          <w:tcPr>
            <w:tcW w:w="993" w:type="dxa"/>
          </w:tcPr>
          <w:p w:rsidR="00B04E96" w:rsidRPr="005A35D3" w:rsidRDefault="00B04E96" w:rsidP="005A35D3">
            <w:pPr>
              <w:spacing w:line="276" w:lineRule="auto"/>
              <w:rPr>
                <w:rFonts w:cstheme="minorHAnsi"/>
              </w:rPr>
            </w:pPr>
            <w:r w:rsidRPr="005A35D3">
              <w:rPr>
                <w:rFonts w:cstheme="minorHAnsi"/>
              </w:rPr>
              <w:t>572</w:t>
            </w:r>
          </w:p>
          <w:p w:rsidR="00B04E96" w:rsidRPr="005A35D3" w:rsidRDefault="00B04E96" w:rsidP="005A35D3">
            <w:pPr>
              <w:spacing w:line="276" w:lineRule="auto"/>
              <w:rPr>
                <w:rFonts w:cstheme="minorHAnsi"/>
              </w:rPr>
            </w:pPr>
            <w:r w:rsidRPr="005A35D3">
              <w:rPr>
                <w:rFonts w:cstheme="minorHAnsi"/>
              </w:rPr>
              <w:t>665</w:t>
            </w:r>
          </w:p>
        </w:tc>
        <w:tc>
          <w:tcPr>
            <w:tcW w:w="3969" w:type="dxa"/>
          </w:tcPr>
          <w:p w:rsidR="00B04E96" w:rsidRPr="005A35D3" w:rsidRDefault="00B04E96" w:rsidP="005A35D3">
            <w:pPr>
              <w:spacing w:line="276" w:lineRule="auto"/>
              <w:jc w:val="center"/>
              <w:rPr>
                <w:rFonts w:cstheme="minorHAnsi"/>
              </w:rPr>
            </w:pPr>
            <w:r w:rsidRPr="005A35D3">
              <w:rPr>
                <w:rFonts w:cstheme="minorHAnsi"/>
              </w:rPr>
              <w:t>01/03/01</w:t>
            </w:r>
          </w:p>
        </w:tc>
        <w:tc>
          <w:tcPr>
            <w:tcW w:w="1275" w:type="dxa"/>
          </w:tcPr>
          <w:p w:rsidR="00B04E96" w:rsidRPr="005A35D3" w:rsidRDefault="00B04E96" w:rsidP="005A35D3">
            <w:pPr>
              <w:spacing w:line="276" w:lineRule="auto"/>
              <w:rPr>
                <w:rFonts w:cstheme="minorHAnsi"/>
              </w:rPr>
            </w:pPr>
            <w:r w:rsidRPr="005A35D3">
              <w:rPr>
                <w:rFonts w:cstheme="minorHAnsi"/>
              </w:rPr>
              <w:t xml:space="preserve">5208 </w:t>
            </w:r>
          </w:p>
        </w:tc>
        <w:tc>
          <w:tcPr>
            <w:tcW w:w="1165" w:type="dxa"/>
          </w:tcPr>
          <w:p w:rsidR="00B04E96" w:rsidRPr="005A35D3" w:rsidRDefault="00B04E96" w:rsidP="005A35D3">
            <w:pPr>
              <w:spacing w:line="276" w:lineRule="auto"/>
              <w:rPr>
                <w:rFonts w:cstheme="minorHAnsi"/>
              </w:rPr>
            </w:pPr>
            <w:r w:rsidRPr="005A35D3">
              <w:rPr>
                <w:rFonts w:cstheme="minorHAnsi"/>
              </w:rPr>
              <w:t>5000 €</w:t>
            </w:r>
          </w:p>
        </w:tc>
      </w:tr>
      <w:tr w:rsidR="00B04E96" w:rsidRPr="005A35D3" w:rsidTr="00045BD0">
        <w:tc>
          <w:tcPr>
            <w:tcW w:w="1242" w:type="dxa"/>
          </w:tcPr>
          <w:p w:rsidR="00B04E96" w:rsidRPr="005A35D3" w:rsidRDefault="00B04E96" w:rsidP="005A35D3">
            <w:pPr>
              <w:spacing w:line="276" w:lineRule="auto"/>
              <w:rPr>
                <w:rFonts w:cstheme="minorHAnsi"/>
              </w:rPr>
            </w:pPr>
            <w:r w:rsidRPr="005A35D3">
              <w:rPr>
                <w:rFonts w:cstheme="minorHAnsi"/>
              </w:rPr>
              <w:t>5000 €</w:t>
            </w:r>
          </w:p>
        </w:tc>
        <w:tc>
          <w:tcPr>
            <w:tcW w:w="993" w:type="dxa"/>
          </w:tcPr>
          <w:p w:rsidR="00B04E96" w:rsidRPr="005A35D3" w:rsidRDefault="00B04E96" w:rsidP="005A35D3">
            <w:pPr>
              <w:spacing w:line="276" w:lineRule="auto"/>
              <w:rPr>
                <w:rFonts w:cstheme="minorHAnsi"/>
              </w:rPr>
            </w:pPr>
            <w:r w:rsidRPr="005A35D3">
              <w:rPr>
                <w:rFonts w:cstheme="minorHAnsi"/>
              </w:rPr>
              <w:t>5208</w:t>
            </w:r>
          </w:p>
        </w:tc>
        <w:tc>
          <w:tcPr>
            <w:tcW w:w="3969" w:type="dxa"/>
          </w:tcPr>
          <w:p w:rsidR="00B04E96" w:rsidRPr="005A35D3" w:rsidRDefault="00B04E96" w:rsidP="005A35D3">
            <w:pPr>
              <w:spacing w:line="276" w:lineRule="auto"/>
              <w:jc w:val="center"/>
              <w:rPr>
                <w:rFonts w:cstheme="minorHAnsi"/>
              </w:rPr>
            </w:pPr>
            <w:r w:rsidRPr="005A35D3">
              <w:rPr>
                <w:rFonts w:cstheme="minorHAnsi"/>
              </w:rPr>
              <w:t>30/05/01</w:t>
            </w:r>
          </w:p>
        </w:tc>
        <w:tc>
          <w:tcPr>
            <w:tcW w:w="1275" w:type="dxa"/>
          </w:tcPr>
          <w:p w:rsidR="00B04E96" w:rsidRPr="005A35D3" w:rsidRDefault="00B04E96" w:rsidP="005A35D3">
            <w:pPr>
              <w:spacing w:line="276" w:lineRule="auto"/>
              <w:rPr>
                <w:rFonts w:cstheme="minorHAnsi"/>
              </w:rPr>
            </w:pPr>
            <w:r w:rsidRPr="005A35D3">
              <w:rPr>
                <w:rFonts w:cstheme="minorHAnsi"/>
              </w:rPr>
              <w:t xml:space="preserve">4311 </w:t>
            </w:r>
          </w:p>
        </w:tc>
        <w:tc>
          <w:tcPr>
            <w:tcW w:w="1165" w:type="dxa"/>
          </w:tcPr>
          <w:p w:rsidR="00B04E96" w:rsidRPr="005A35D3" w:rsidRDefault="00B04E96" w:rsidP="005A35D3">
            <w:pPr>
              <w:spacing w:line="276" w:lineRule="auto"/>
              <w:rPr>
                <w:rFonts w:cstheme="minorHAnsi"/>
              </w:rPr>
            </w:pPr>
            <w:r w:rsidRPr="005A35D3">
              <w:rPr>
                <w:rFonts w:cstheme="minorHAnsi"/>
              </w:rPr>
              <w:t>5000 €</w:t>
            </w:r>
          </w:p>
        </w:tc>
      </w:tr>
    </w:tbl>
    <w:p w:rsidR="00B04E96" w:rsidRPr="005A35D3" w:rsidRDefault="00B04E96" w:rsidP="005A35D3">
      <w:pPr>
        <w:spacing w:after="0" w:line="276" w:lineRule="auto"/>
        <w:rPr>
          <w:rFonts w:cstheme="minorHAnsi"/>
        </w:rPr>
      </w:pPr>
    </w:p>
    <w:p w:rsidR="00B04E96" w:rsidRPr="005A35D3" w:rsidRDefault="00B04E96" w:rsidP="005A35D3">
      <w:pPr>
        <w:spacing w:after="0" w:line="276" w:lineRule="auto"/>
        <w:rPr>
          <w:rFonts w:cstheme="minorHAnsi"/>
          <w:b/>
          <w:i/>
        </w:rPr>
      </w:pPr>
      <w:r w:rsidRPr="005A35D3">
        <w:rPr>
          <w:rFonts w:cstheme="minorHAnsi"/>
          <w:b/>
          <w:i/>
        </w:rPr>
        <w:t>3.2.2. Factoring</w:t>
      </w:r>
    </w:p>
    <w:p w:rsidR="00B04E96" w:rsidRPr="005A35D3" w:rsidRDefault="00B04E96" w:rsidP="005A35D3">
      <w:pPr>
        <w:spacing w:after="0" w:line="276" w:lineRule="auto"/>
        <w:rPr>
          <w:rFonts w:cstheme="minorHAnsi"/>
        </w:rPr>
      </w:pPr>
      <w:r w:rsidRPr="005A35D3">
        <w:rPr>
          <w:rFonts w:cstheme="minorHAnsi"/>
        </w:rPr>
        <w:t xml:space="preserve">Es un contrato mediante el cual una empresa (empresa de </w:t>
      </w:r>
      <w:proofErr w:type="spellStart"/>
      <w:r w:rsidRPr="005A35D3">
        <w:rPr>
          <w:rFonts w:cstheme="minorHAnsi"/>
        </w:rPr>
        <w:t>factoring</w:t>
      </w:r>
      <w:proofErr w:type="spellEnd"/>
      <w:r w:rsidRPr="005A35D3">
        <w:rPr>
          <w:rFonts w:cstheme="minorHAnsi"/>
        </w:rPr>
        <w:t xml:space="preserve">) adquiere la facturación de otra empresa, adelantándole el pago de dichas facturas (Nominal – Descuento). La empresa de </w:t>
      </w:r>
      <w:proofErr w:type="spellStart"/>
      <w:r w:rsidRPr="005A35D3">
        <w:rPr>
          <w:rFonts w:cstheme="minorHAnsi"/>
        </w:rPr>
        <w:t>factoring</w:t>
      </w:r>
      <w:proofErr w:type="spellEnd"/>
      <w:r w:rsidRPr="005A35D3">
        <w:rPr>
          <w:rFonts w:cstheme="minorHAnsi"/>
        </w:rPr>
        <w:t xml:space="preserve"> puede asumir o no el riesgo de morosos.</w:t>
      </w:r>
    </w:p>
    <w:p w:rsidR="00B04E96" w:rsidRPr="005A35D3" w:rsidRDefault="00B04E96" w:rsidP="005A35D3">
      <w:pPr>
        <w:pStyle w:val="Prrafodelista"/>
        <w:numPr>
          <w:ilvl w:val="0"/>
          <w:numId w:val="6"/>
        </w:numPr>
        <w:spacing w:after="0" w:line="276" w:lineRule="auto"/>
        <w:rPr>
          <w:rFonts w:cstheme="minorHAnsi"/>
        </w:rPr>
      </w:pPr>
      <w:r w:rsidRPr="005A35D3">
        <w:rPr>
          <w:rFonts w:cstheme="minorHAnsi"/>
        </w:rPr>
        <w:t xml:space="preserve">Factoring sin recurso: la empresa de </w:t>
      </w:r>
      <w:proofErr w:type="spellStart"/>
      <w:r w:rsidRPr="005A35D3">
        <w:rPr>
          <w:rFonts w:cstheme="minorHAnsi"/>
        </w:rPr>
        <w:t>factoring</w:t>
      </w:r>
      <w:proofErr w:type="spellEnd"/>
      <w:r w:rsidRPr="005A35D3">
        <w:rPr>
          <w:rFonts w:cstheme="minorHAnsi"/>
        </w:rPr>
        <w:t xml:space="preserve"> asume el riesgo de impagos. En este caso la empresa da de baja el derecho de cobro y registra el gasto correspondiente.</w:t>
      </w:r>
    </w:p>
    <w:p w:rsidR="00B04E96" w:rsidRPr="005A35D3" w:rsidRDefault="00B04E96" w:rsidP="005A35D3">
      <w:pPr>
        <w:pStyle w:val="Prrafodelista"/>
        <w:numPr>
          <w:ilvl w:val="0"/>
          <w:numId w:val="6"/>
        </w:numPr>
        <w:spacing w:after="0" w:line="276" w:lineRule="auto"/>
        <w:rPr>
          <w:rFonts w:cstheme="minorHAnsi"/>
        </w:rPr>
      </w:pPr>
      <w:r w:rsidRPr="005A35D3">
        <w:rPr>
          <w:rFonts w:cstheme="minorHAnsi"/>
        </w:rPr>
        <w:t>Factoring con recurso: cuando no se transfieren los riesgos inherentes a los derechos de cobro.</w:t>
      </w:r>
    </w:p>
    <w:p w:rsidR="00B04E96" w:rsidRPr="005A35D3" w:rsidRDefault="00B04E96" w:rsidP="005A35D3">
      <w:pPr>
        <w:spacing w:after="0" w:line="276" w:lineRule="auto"/>
        <w:rPr>
          <w:rFonts w:cstheme="minorHAnsi"/>
        </w:rPr>
      </w:pPr>
      <w:r w:rsidRPr="005A35D3">
        <w:rPr>
          <w:rFonts w:cstheme="minorHAnsi"/>
        </w:rPr>
        <w:t xml:space="preserve">EJEMPLO 1.- Una empresa contratada con una entidad dedicada al </w:t>
      </w:r>
      <w:proofErr w:type="spellStart"/>
      <w:r w:rsidRPr="005A35D3">
        <w:rPr>
          <w:rFonts w:cstheme="minorHAnsi"/>
        </w:rPr>
        <w:t>factoring</w:t>
      </w:r>
      <w:proofErr w:type="spellEnd"/>
      <w:r w:rsidRPr="005A35D3">
        <w:rPr>
          <w:rFonts w:cstheme="minorHAnsi"/>
        </w:rPr>
        <w:t xml:space="preserve"> el cobro de efecto por un nominal de 1.000.000 €. </w:t>
      </w:r>
    </w:p>
    <w:p w:rsidR="00B04E96" w:rsidRPr="005A35D3" w:rsidRDefault="00B04E96" w:rsidP="005A35D3">
      <w:pPr>
        <w:spacing w:after="0" w:line="276" w:lineRule="auto"/>
        <w:rPr>
          <w:rFonts w:cstheme="minorHAnsi"/>
        </w:rPr>
      </w:pPr>
      <w:r w:rsidRPr="005A35D3">
        <w:rPr>
          <w:rFonts w:cstheme="minorHAnsi"/>
        </w:rPr>
        <w:t>FACTORING SIN RECURSO</w:t>
      </w:r>
    </w:p>
    <w:tbl>
      <w:tblPr>
        <w:tblStyle w:val="Tablaconcuadrcula"/>
        <w:tblW w:w="0" w:type="auto"/>
        <w:tblLook w:val="04A0"/>
      </w:tblPr>
      <w:tblGrid>
        <w:gridCol w:w="1242"/>
        <w:gridCol w:w="993"/>
        <w:gridCol w:w="3969"/>
        <w:gridCol w:w="1275"/>
        <w:gridCol w:w="1165"/>
      </w:tblGrid>
      <w:tr w:rsidR="00B04E96" w:rsidRPr="005A35D3" w:rsidTr="00045BD0">
        <w:tc>
          <w:tcPr>
            <w:tcW w:w="1242" w:type="dxa"/>
          </w:tcPr>
          <w:p w:rsidR="00B04E96" w:rsidRPr="005A35D3" w:rsidRDefault="00B04E96" w:rsidP="005A35D3">
            <w:pPr>
              <w:spacing w:line="276" w:lineRule="auto"/>
              <w:rPr>
                <w:rFonts w:cstheme="minorHAnsi"/>
              </w:rPr>
            </w:pPr>
            <w:r w:rsidRPr="005A35D3">
              <w:rPr>
                <w:rFonts w:cstheme="minorHAnsi"/>
              </w:rPr>
              <w:t>879.000</w:t>
            </w:r>
          </w:p>
          <w:p w:rsidR="00B04E96" w:rsidRPr="005A35D3" w:rsidRDefault="00B04E96" w:rsidP="005A35D3">
            <w:pPr>
              <w:spacing w:line="276" w:lineRule="auto"/>
              <w:rPr>
                <w:rFonts w:cstheme="minorHAnsi"/>
              </w:rPr>
            </w:pPr>
            <w:r w:rsidRPr="005A35D3">
              <w:rPr>
                <w:rFonts w:cstheme="minorHAnsi"/>
              </w:rPr>
              <w:t>100.000</w:t>
            </w:r>
          </w:p>
          <w:p w:rsidR="00B04E96" w:rsidRPr="005A35D3" w:rsidRDefault="00B04E96" w:rsidP="005A35D3">
            <w:pPr>
              <w:spacing w:line="276" w:lineRule="auto"/>
              <w:rPr>
                <w:rFonts w:cstheme="minorHAnsi"/>
              </w:rPr>
            </w:pPr>
            <w:r w:rsidRPr="005A35D3">
              <w:rPr>
                <w:rFonts w:cstheme="minorHAnsi"/>
              </w:rPr>
              <w:t>21.000</w:t>
            </w:r>
          </w:p>
        </w:tc>
        <w:tc>
          <w:tcPr>
            <w:tcW w:w="993" w:type="dxa"/>
          </w:tcPr>
          <w:p w:rsidR="00B04E96" w:rsidRPr="005A35D3" w:rsidRDefault="00B04E96" w:rsidP="005A35D3">
            <w:pPr>
              <w:spacing w:line="276" w:lineRule="auto"/>
              <w:rPr>
                <w:rFonts w:cstheme="minorHAnsi"/>
              </w:rPr>
            </w:pPr>
            <w:r w:rsidRPr="005A35D3">
              <w:rPr>
                <w:rFonts w:cstheme="minorHAnsi"/>
              </w:rPr>
              <w:t>572</w:t>
            </w:r>
          </w:p>
          <w:p w:rsidR="00B04E96" w:rsidRPr="005A35D3" w:rsidRDefault="00B04E96" w:rsidP="005A35D3">
            <w:pPr>
              <w:spacing w:line="276" w:lineRule="auto"/>
              <w:rPr>
                <w:rFonts w:cstheme="minorHAnsi"/>
              </w:rPr>
            </w:pPr>
            <w:r w:rsidRPr="005A35D3">
              <w:rPr>
                <w:rFonts w:cstheme="minorHAnsi"/>
              </w:rPr>
              <w:t>626</w:t>
            </w:r>
          </w:p>
          <w:p w:rsidR="00B04E96" w:rsidRPr="005A35D3" w:rsidRDefault="00B04E96" w:rsidP="005A35D3">
            <w:pPr>
              <w:spacing w:line="276" w:lineRule="auto"/>
              <w:rPr>
                <w:rFonts w:cstheme="minorHAnsi"/>
              </w:rPr>
            </w:pPr>
            <w:r w:rsidRPr="005A35D3">
              <w:rPr>
                <w:rFonts w:cstheme="minorHAnsi"/>
              </w:rPr>
              <w:t>472</w:t>
            </w:r>
          </w:p>
        </w:tc>
        <w:tc>
          <w:tcPr>
            <w:tcW w:w="3969" w:type="dxa"/>
          </w:tcPr>
          <w:p w:rsidR="00B04E96" w:rsidRPr="005A35D3" w:rsidRDefault="00B04E96" w:rsidP="005A35D3">
            <w:pPr>
              <w:spacing w:line="276" w:lineRule="auto"/>
              <w:rPr>
                <w:rFonts w:cstheme="minorHAnsi"/>
              </w:rPr>
            </w:pPr>
          </w:p>
        </w:tc>
        <w:tc>
          <w:tcPr>
            <w:tcW w:w="1275" w:type="dxa"/>
          </w:tcPr>
          <w:p w:rsidR="00B04E96" w:rsidRPr="005A35D3" w:rsidRDefault="00B04E96" w:rsidP="005A35D3">
            <w:pPr>
              <w:spacing w:line="276" w:lineRule="auto"/>
              <w:rPr>
                <w:rFonts w:cstheme="minorHAnsi"/>
              </w:rPr>
            </w:pPr>
            <w:r w:rsidRPr="005A35D3">
              <w:rPr>
                <w:rFonts w:cstheme="minorHAnsi"/>
              </w:rPr>
              <w:t>4310</w:t>
            </w:r>
          </w:p>
        </w:tc>
        <w:tc>
          <w:tcPr>
            <w:tcW w:w="1165" w:type="dxa"/>
          </w:tcPr>
          <w:p w:rsidR="00B04E96" w:rsidRPr="005A35D3" w:rsidRDefault="00B04E96" w:rsidP="005A35D3">
            <w:pPr>
              <w:spacing w:line="276" w:lineRule="auto"/>
              <w:rPr>
                <w:rFonts w:cstheme="minorHAnsi"/>
              </w:rPr>
            </w:pPr>
            <w:r w:rsidRPr="005A35D3">
              <w:rPr>
                <w:rFonts w:cstheme="minorHAnsi"/>
              </w:rPr>
              <w:t>1.000.000</w:t>
            </w:r>
          </w:p>
        </w:tc>
      </w:tr>
    </w:tbl>
    <w:p w:rsidR="00B04E96" w:rsidRPr="005A35D3" w:rsidRDefault="00B04E96" w:rsidP="005A35D3">
      <w:pPr>
        <w:spacing w:after="0" w:line="276" w:lineRule="auto"/>
        <w:rPr>
          <w:rFonts w:cstheme="minorHAnsi"/>
        </w:rPr>
      </w:pPr>
    </w:p>
    <w:p w:rsidR="00B04E96" w:rsidRPr="005A35D3" w:rsidRDefault="00B04E96" w:rsidP="005A35D3">
      <w:pPr>
        <w:spacing w:after="0" w:line="276" w:lineRule="auto"/>
        <w:rPr>
          <w:rFonts w:cstheme="minorHAnsi"/>
        </w:rPr>
      </w:pPr>
    </w:p>
    <w:p w:rsidR="00B04E96" w:rsidRPr="005A35D3" w:rsidRDefault="00B04E96" w:rsidP="005A35D3">
      <w:pPr>
        <w:spacing w:after="0" w:line="276" w:lineRule="auto"/>
        <w:rPr>
          <w:rFonts w:cstheme="minorHAnsi"/>
        </w:rPr>
      </w:pPr>
      <w:r w:rsidRPr="005A35D3">
        <w:rPr>
          <w:rFonts w:cstheme="minorHAnsi"/>
        </w:rPr>
        <w:t>FACTORING CON RECURSO: se contabiliza igual que el descuento bancario de efectos.</w:t>
      </w:r>
    </w:p>
    <w:tbl>
      <w:tblPr>
        <w:tblStyle w:val="Tablaconcuadrcula"/>
        <w:tblW w:w="0" w:type="auto"/>
        <w:tblLook w:val="04A0"/>
      </w:tblPr>
      <w:tblGrid>
        <w:gridCol w:w="1242"/>
        <w:gridCol w:w="993"/>
        <w:gridCol w:w="3969"/>
        <w:gridCol w:w="1275"/>
        <w:gridCol w:w="1165"/>
      </w:tblGrid>
      <w:tr w:rsidR="00B04E96" w:rsidRPr="005A35D3" w:rsidTr="00045BD0">
        <w:tc>
          <w:tcPr>
            <w:tcW w:w="1242" w:type="dxa"/>
          </w:tcPr>
          <w:p w:rsidR="00B04E96" w:rsidRPr="005A35D3" w:rsidRDefault="00B04E96" w:rsidP="005A35D3">
            <w:pPr>
              <w:spacing w:line="276" w:lineRule="auto"/>
              <w:rPr>
                <w:rFonts w:cstheme="minorHAnsi"/>
              </w:rPr>
            </w:pPr>
            <w:r w:rsidRPr="005A35D3">
              <w:rPr>
                <w:rFonts w:cstheme="minorHAnsi"/>
              </w:rPr>
              <w:t>1.000.000</w:t>
            </w:r>
          </w:p>
          <w:p w:rsidR="00B04E96" w:rsidRPr="005A35D3" w:rsidRDefault="00B04E96" w:rsidP="005A35D3">
            <w:pPr>
              <w:spacing w:line="276" w:lineRule="auto"/>
              <w:rPr>
                <w:rFonts w:cstheme="minorHAnsi"/>
              </w:rPr>
            </w:pPr>
          </w:p>
          <w:p w:rsidR="00B04E96" w:rsidRPr="005A35D3" w:rsidRDefault="00B04E96" w:rsidP="005A35D3">
            <w:pPr>
              <w:spacing w:line="276" w:lineRule="auto"/>
              <w:rPr>
                <w:rFonts w:cstheme="minorHAnsi"/>
              </w:rPr>
            </w:pPr>
            <w:r w:rsidRPr="005A35D3">
              <w:rPr>
                <w:rFonts w:cstheme="minorHAnsi"/>
              </w:rPr>
              <w:t>879.000</w:t>
            </w:r>
          </w:p>
          <w:p w:rsidR="00B04E96" w:rsidRPr="005A35D3" w:rsidRDefault="00B04E96" w:rsidP="005A35D3">
            <w:pPr>
              <w:spacing w:line="276" w:lineRule="auto"/>
              <w:rPr>
                <w:rFonts w:cstheme="minorHAnsi"/>
              </w:rPr>
            </w:pPr>
            <w:r w:rsidRPr="005A35D3">
              <w:rPr>
                <w:rFonts w:cstheme="minorHAnsi"/>
              </w:rPr>
              <w:t>100.000</w:t>
            </w:r>
          </w:p>
          <w:p w:rsidR="00B04E96" w:rsidRPr="005A35D3" w:rsidRDefault="00B04E96" w:rsidP="005A35D3">
            <w:pPr>
              <w:spacing w:line="276" w:lineRule="auto"/>
              <w:rPr>
                <w:rFonts w:cstheme="minorHAnsi"/>
              </w:rPr>
            </w:pPr>
            <w:r w:rsidRPr="005A35D3">
              <w:rPr>
                <w:rFonts w:cstheme="minorHAnsi"/>
              </w:rPr>
              <w:t>21.000</w:t>
            </w:r>
          </w:p>
        </w:tc>
        <w:tc>
          <w:tcPr>
            <w:tcW w:w="993" w:type="dxa"/>
          </w:tcPr>
          <w:p w:rsidR="00B04E96" w:rsidRPr="005A35D3" w:rsidRDefault="00B04E96" w:rsidP="005A35D3">
            <w:pPr>
              <w:spacing w:line="276" w:lineRule="auto"/>
              <w:rPr>
                <w:rFonts w:cstheme="minorHAnsi"/>
              </w:rPr>
            </w:pPr>
            <w:r w:rsidRPr="005A35D3">
              <w:rPr>
                <w:rFonts w:cstheme="minorHAnsi"/>
              </w:rPr>
              <w:t>4312</w:t>
            </w:r>
          </w:p>
          <w:p w:rsidR="00B04E96" w:rsidRPr="005A35D3" w:rsidRDefault="00B04E96" w:rsidP="005A35D3">
            <w:pPr>
              <w:spacing w:line="276" w:lineRule="auto"/>
              <w:rPr>
                <w:rFonts w:cstheme="minorHAnsi"/>
              </w:rPr>
            </w:pPr>
          </w:p>
          <w:p w:rsidR="00B04E96" w:rsidRPr="005A35D3" w:rsidRDefault="00B04E96" w:rsidP="005A35D3">
            <w:pPr>
              <w:spacing w:line="276" w:lineRule="auto"/>
              <w:rPr>
                <w:rFonts w:cstheme="minorHAnsi"/>
              </w:rPr>
            </w:pPr>
            <w:r w:rsidRPr="005A35D3">
              <w:rPr>
                <w:rFonts w:cstheme="minorHAnsi"/>
              </w:rPr>
              <w:t>572</w:t>
            </w:r>
          </w:p>
          <w:p w:rsidR="00B04E96" w:rsidRPr="005A35D3" w:rsidRDefault="00B04E96" w:rsidP="005A35D3">
            <w:pPr>
              <w:spacing w:line="276" w:lineRule="auto"/>
              <w:rPr>
                <w:rFonts w:cstheme="minorHAnsi"/>
              </w:rPr>
            </w:pPr>
            <w:r w:rsidRPr="005A35D3">
              <w:rPr>
                <w:rFonts w:cstheme="minorHAnsi"/>
              </w:rPr>
              <w:t>626</w:t>
            </w:r>
          </w:p>
          <w:p w:rsidR="00B04E96" w:rsidRPr="005A35D3" w:rsidRDefault="00B04E96" w:rsidP="005A35D3">
            <w:pPr>
              <w:spacing w:line="276" w:lineRule="auto"/>
              <w:rPr>
                <w:rFonts w:cstheme="minorHAnsi"/>
              </w:rPr>
            </w:pPr>
            <w:r w:rsidRPr="005A35D3">
              <w:rPr>
                <w:rFonts w:cstheme="minorHAnsi"/>
              </w:rPr>
              <w:t>472</w:t>
            </w:r>
          </w:p>
        </w:tc>
        <w:tc>
          <w:tcPr>
            <w:tcW w:w="3969" w:type="dxa"/>
          </w:tcPr>
          <w:p w:rsidR="00B04E96" w:rsidRPr="005A35D3" w:rsidRDefault="00B04E96" w:rsidP="005A35D3">
            <w:pPr>
              <w:spacing w:line="276" w:lineRule="auto"/>
              <w:rPr>
                <w:rFonts w:cstheme="minorHAnsi"/>
              </w:rPr>
            </w:pPr>
          </w:p>
        </w:tc>
        <w:tc>
          <w:tcPr>
            <w:tcW w:w="1275" w:type="dxa"/>
          </w:tcPr>
          <w:p w:rsidR="00B04E96" w:rsidRPr="005A35D3" w:rsidRDefault="00B04E96" w:rsidP="005A35D3">
            <w:pPr>
              <w:spacing w:line="276" w:lineRule="auto"/>
              <w:rPr>
                <w:rFonts w:cstheme="minorHAnsi"/>
              </w:rPr>
            </w:pPr>
            <w:r w:rsidRPr="005A35D3">
              <w:rPr>
                <w:rFonts w:cstheme="minorHAnsi"/>
              </w:rPr>
              <w:t>4310</w:t>
            </w:r>
          </w:p>
          <w:p w:rsidR="00B04E96" w:rsidRPr="005A35D3" w:rsidRDefault="00B04E96" w:rsidP="005A35D3">
            <w:pPr>
              <w:spacing w:line="276" w:lineRule="auto"/>
              <w:rPr>
                <w:rFonts w:cstheme="minorHAnsi"/>
              </w:rPr>
            </w:pPr>
          </w:p>
          <w:p w:rsidR="00B04E96" w:rsidRPr="005A35D3" w:rsidRDefault="00B04E96" w:rsidP="005A35D3">
            <w:pPr>
              <w:spacing w:line="276" w:lineRule="auto"/>
              <w:rPr>
                <w:rFonts w:cstheme="minorHAnsi"/>
              </w:rPr>
            </w:pPr>
            <w:r w:rsidRPr="005A35D3">
              <w:rPr>
                <w:rFonts w:cstheme="minorHAnsi"/>
              </w:rPr>
              <w:t>5209</w:t>
            </w:r>
          </w:p>
        </w:tc>
        <w:tc>
          <w:tcPr>
            <w:tcW w:w="1165" w:type="dxa"/>
          </w:tcPr>
          <w:p w:rsidR="00B04E96" w:rsidRPr="005A35D3" w:rsidRDefault="00B04E96" w:rsidP="005A35D3">
            <w:pPr>
              <w:spacing w:line="276" w:lineRule="auto"/>
              <w:rPr>
                <w:rFonts w:cstheme="minorHAnsi"/>
              </w:rPr>
            </w:pPr>
            <w:r w:rsidRPr="005A35D3">
              <w:rPr>
                <w:rFonts w:cstheme="minorHAnsi"/>
              </w:rPr>
              <w:t>1.000.000</w:t>
            </w:r>
          </w:p>
          <w:p w:rsidR="00B04E96" w:rsidRPr="005A35D3" w:rsidRDefault="00B04E96" w:rsidP="005A35D3">
            <w:pPr>
              <w:spacing w:line="276" w:lineRule="auto"/>
              <w:rPr>
                <w:rFonts w:cstheme="minorHAnsi"/>
              </w:rPr>
            </w:pPr>
          </w:p>
          <w:p w:rsidR="00B04E96" w:rsidRPr="005A35D3" w:rsidRDefault="00B04E96" w:rsidP="005A35D3">
            <w:pPr>
              <w:spacing w:line="276" w:lineRule="auto"/>
              <w:rPr>
                <w:rFonts w:cstheme="minorHAnsi"/>
              </w:rPr>
            </w:pPr>
            <w:r w:rsidRPr="005A35D3">
              <w:rPr>
                <w:rFonts w:cstheme="minorHAnsi"/>
              </w:rPr>
              <w:t>1.000.000</w:t>
            </w:r>
          </w:p>
        </w:tc>
      </w:tr>
    </w:tbl>
    <w:p w:rsidR="00B04E96" w:rsidRPr="005A35D3" w:rsidRDefault="00B04E96" w:rsidP="005A35D3">
      <w:pPr>
        <w:spacing w:after="0" w:line="276" w:lineRule="auto"/>
        <w:rPr>
          <w:rFonts w:cstheme="minorHAnsi"/>
        </w:rPr>
      </w:pPr>
    </w:p>
    <w:p w:rsidR="00B04E96" w:rsidRPr="005A35D3" w:rsidRDefault="00B04E96" w:rsidP="005A35D3">
      <w:pPr>
        <w:spacing w:after="0" w:line="276" w:lineRule="auto"/>
        <w:rPr>
          <w:rFonts w:cstheme="minorHAnsi"/>
          <w:b/>
          <w:i/>
        </w:rPr>
      </w:pPr>
      <w:r w:rsidRPr="005A35D3">
        <w:rPr>
          <w:rFonts w:cstheme="minorHAnsi"/>
          <w:b/>
          <w:i/>
        </w:rPr>
        <w:t>3.2.3. Efectos en gestión de cobro</w:t>
      </w:r>
    </w:p>
    <w:p w:rsidR="00B04E96" w:rsidRPr="005A35D3" w:rsidRDefault="00B04E96" w:rsidP="005A35D3">
      <w:pPr>
        <w:spacing w:after="0" w:line="276" w:lineRule="auto"/>
        <w:rPr>
          <w:rFonts w:cstheme="minorHAnsi"/>
        </w:rPr>
      </w:pPr>
      <w:r w:rsidRPr="005A35D3">
        <w:rPr>
          <w:rFonts w:cstheme="minorHAnsi"/>
        </w:rPr>
        <w:t>A veces una empresa no negocia las letras sino que las lleva al banco en gestión de cobro. En este caso el banco no adelanta el dinero a la empresa y, por tanto, esta no tiene ninguna deuda con el banco. Para reflejar este hecho de que la letra está en el banco en lugar de estar en la empresa, sustituimos la cuenta (4310) por la (4312).</w:t>
      </w:r>
    </w:p>
    <w:tbl>
      <w:tblPr>
        <w:tblStyle w:val="Tablaconcuadrcula"/>
        <w:tblW w:w="0" w:type="auto"/>
        <w:tblLook w:val="04A0"/>
      </w:tblPr>
      <w:tblGrid>
        <w:gridCol w:w="4247"/>
        <w:gridCol w:w="4247"/>
      </w:tblGrid>
      <w:tr w:rsidR="00B04E96" w:rsidRPr="005A35D3" w:rsidTr="00045BD0">
        <w:tc>
          <w:tcPr>
            <w:tcW w:w="4247" w:type="dxa"/>
          </w:tcPr>
          <w:p w:rsidR="00B04E96" w:rsidRPr="005A35D3" w:rsidRDefault="00B04E96" w:rsidP="005A35D3">
            <w:pPr>
              <w:spacing w:line="276" w:lineRule="auto"/>
              <w:rPr>
                <w:rFonts w:cstheme="minorHAnsi"/>
              </w:rPr>
            </w:pPr>
            <w:r w:rsidRPr="005A35D3">
              <w:rPr>
                <w:rFonts w:cstheme="minorHAnsi"/>
              </w:rPr>
              <w:t>(4312) Efectos comerciales en gestión de cobro</w:t>
            </w:r>
          </w:p>
        </w:tc>
        <w:tc>
          <w:tcPr>
            <w:tcW w:w="4247" w:type="dxa"/>
          </w:tcPr>
          <w:p w:rsidR="00B04E96" w:rsidRPr="005A35D3" w:rsidRDefault="00B04E96" w:rsidP="005A35D3">
            <w:pPr>
              <w:spacing w:line="276" w:lineRule="auto"/>
              <w:rPr>
                <w:rFonts w:cstheme="minorHAnsi"/>
              </w:rPr>
            </w:pPr>
            <w:r w:rsidRPr="005A35D3">
              <w:rPr>
                <w:rFonts w:cstheme="minorHAnsi"/>
              </w:rPr>
              <w:t>(4310) Efectos comerciales en cartera</w:t>
            </w:r>
          </w:p>
        </w:tc>
      </w:tr>
    </w:tbl>
    <w:p w:rsidR="00B04E96" w:rsidRPr="005A35D3" w:rsidRDefault="00B04E96" w:rsidP="005A35D3">
      <w:pPr>
        <w:pStyle w:val="Default"/>
        <w:spacing w:line="276" w:lineRule="auto"/>
        <w:rPr>
          <w:rFonts w:asciiTheme="minorHAnsi" w:hAnsiTheme="minorHAnsi" w:cstheme="minorHAnsi"/>
          <w:color w:val="auto"/>
          <w:sz w:val="22"/>
          <w:szCs w:val="22"/>
        </w:rPr>
      </w:pPr>
    </w:p>
    <w:p w:rsidR="00B04E96" w:rsidRPr="005A35D3" w:rsidRDefault="00B04E96" w:rsidP="005A35D3">
      <w:pPr>
        <w:pStyle w:val="Default"/>
        <w:spacing w:line="276" w:lineRule="auto"/>
        <w:rPr>
          <w:rFonts w:asciiTheme="minorHAnsi" w:hAnsiTheme="minorHAnsi" w:cstheme="minorHAnsi"/>
          <w:b/>
          <w:i/>
          <w:color w:val="0070C0"/>
          <w:sz w:val="22"/>
          <w:szCs w:val="22"/>
        </w:rPr>
      </w:pPr>
      <w:r w:rsidRPr="005A35D3">
        <w:rPr>
          <w:rFonts w:asciiTheme="minorHAnsi" w:hAnsiTheme="minorHAnsi" w:cstheme="minorHAnsi"/>
          <w:b/>
          <w:i/>
          <w:color w:val="0070C0"/>
          <w:sz w:val="22"/>
          <w:szCs w:val="22"/>
        </w:rPr>
        <w:t xml:space="preserve">3.3. </w:t>
      </w:r>
      <w:r w:rsidRPr="005A35D3">
        <w:rPr>
          <w:rFonts w:asciiTheme="minorHAnsi" w:hAnsiTheme="minorHAnsi" w:cstheme="minorHAnsi"/>
          <w:i/>
          <w:color w:val="0070C0"/>
          <w:sz w:val="22"/>
          <w:szCs w:val="22"/>
        </w:rPr>
        <w:t>Créditos y débitos en moneda extranjera.</w:t>
      </w:r>
    </w:p>
    <w:p w:rsidR="00B04E96" w:rsidRPr="005A35D3" w:rsidRDefault="00B04E96" w:rsidP="005A35D3">
      <w:pPr>
        <w:pStyle w:val="Default"/>
        <w:spacing w:line="276" w:lineRule="auto"/>
        <w:rPr>
          <w:rFonts w:asciiTheme="minorHAnsi" w:hAnsiTheme="minorHAnsi" w:cstheme="minorHAnsi"/>
          <w:b/>
          <w:i/>
          <w:sz w:val="22"/>
          <w:szCs w:val="22"/>
        </w:rPr>
      </w:pPr>
      <w:r w:rsidRPr="005A35D3">
        <w:rPr>
          <w:rFonts w:asciiTheme="minorHAnsi" w:hAnsiTheme="minorHAnsi" w:cstheme="minorHAnsi"/>
          <w:b/>
          <w:i/>
          <w:sz w:val="22"/>
          <w:szCs w:val="22"/>
        </w:rPr>
        <w:t xml:space="preserve">3.4. Ajustes por periodificación. </w:t>
      </w:r>
    </w:p>
    <w:p w:rsidR="00B04E96" w:rsidRPr="005A35D3" w:rsidRDefault="00B04E96" w:rsidP="005A35D3">
      <w:pPr>
        <w:spacing w:after="0" w:line="276" w:lineRule="auto"/>
        <w:rPr>
          <w:rFonts w:cstheme="minorHAnsi"/>
        </w:rPr>
      </w:pPr>
      <w:r w:rsidRPr="005A35D3">
        <w:rPr>
          <w:rFonts w:cstheme="minorHAnsi"/>
        </w:rPr>
        <w:t>La periodificación contable es el proceso a través del cual procederemos a ajustar los ingresos y los gastos al ejercicio económico que realmente les corresponda, aplicando el principio de devengo, con independencia de cuándo se hayan cobrado o pagado.</w:t>
      </w:r>
    </w:p>
    <w:p w:rsidR="00B04E96" w:rsidRPr="005A35D3" w:rsidRDefault="00B04E96" w:rsidP="005A35D3">
      <w:pPr>
        <w:spacing w:after="0" w:line="276" w:lineRule="auto"/>
        <w:rPr>
          <w:rFonts w:cstheme="minorHAnsi"/>
        </w:rPr>
      </w:pPr>
      <w:r w:rsidRPr="005A35D3">
        <w:rPr>
          <w:rFonts w:cstheme="minorHAnsi"/>
          <w:b/>
        </w:rPr>
        <w:t xml:space="preserve">Subgrupo (48) </w:t>
      </w:r>
      <w:r w:rsidRPr="005A35D3">
        <w:rPr>
          <w:rFonts w:cstheme="minorHAnsi"/>
        </w:rPr>
        <w:t>recoge aquellos gastos e ingresos que la empresa ha contabilizado en el ejercicio que cierra, pero que corresponden al siguiente.</w:t>
      </w:r>
    </w:p>
    <w:p w:rsidR="00B04E96" w:rsidRPr="005A35D3" w:rsidRDefault="00B04E96" w:rsidP="005A35D3">
      <w:pPr>
        <w:spacing w:after="0" w:line="276" w:lineRule="auto"/>
        <w:rPr>
          <w:rFonts w:cstheme="minorHAnsi"/>
        </w:rPr>
      </w:pPr>
      <w:r w:rsidRPr="005A35D3">
        <w:rPr>
          <w:rFonts w:cstheme="minorHAnsi"/>
        </w:rPr>
        <w:lastRenderedPageBreak/>
        <w:t xml:space="preserve">Ejemplo 1: </w:t>
      </w:r>
    </w:p>
    <w:p w:rsidR="00B04E96" w:rsidRPr="005A35D3" w:rsidRDefault="00B04E96" w:rsidP="005A35D3">
      <w:pPr>
        <w:spacing w:after="0" w:line="276" w:lineRule="auto"/>
        <w:rPr>
          <w:rFonts w:cstheme="minorHAnsi"/>
        </w:rPr>
      </w:pPr>
      <w:r w:rsidRPr="005A35D3">
        <w:rPr>
          <w:rFonts w:cstheme="minorHAnsi"/>
        </w:rPr>
        <w:t>El 1 de diciembre la empresa paga por adelantado el alquiler trimestral del local comercial que asciende a 3000e, más 21% IVA y retención del 19%</w:t>
      </w:r>
    </w:p>
    <w:tbl>
      <w:tblPr>
        <w:tblStyle w:val="Tablaconcuadrcula"/>
        <w:tblW w:w="0" w:type="auto"/>
        <w:tblLook w:val="04A0"/>
      </w:tblPr>
      <w:tblGrid>
        <w:gridCol w:w="1242"/>
        <w:gridCol w:w="993"/>
        <w:gridCol w:w="3969"/>
        <w:gridCol w:w="1275"/>
        <w:gridCol w:w="1165"/>
      </w:tblGrid>
      <w:tr w:rsidR="00B04E96" w:rsidRPr="005A35D3" w:rsidTr="00045BD0">
        <w:tc>
          <w:tcPr>
            <w:tcW w:w="1242" w:type="dxa"/>
          </w:tcPr>
          <w:p w:rsidR="00B04E96" w:rsidRPr="005A35D3" w:rsidRDefault="00B04E96" w:rsidP="005A35D3">
            <w:pPr>
              <w:spacing w:line="276" w:lineRule="auto"/>
              <w:rPr>
                <w:rFonts w:cstheme="minorHAnsi"/>
              </w:rPr>
            </w:pPr>
            <w:r w:rsidRPr="005A35D3">
              <w:rPr>
                <w:rFonts w:cstheme="minorHAnsi"/>
              </w:rPr>
              <w:t>3000</w:t>
            </w:r>
          </w:p>
          <w:p w:rsidR="00B04E96" w:rsidRPr="005A35D3" w:rsidRDefault="00B04E96" w:rsidP="005A35D3">
            <w:pPr>
              <w:spacing w:line="276" w:lineRule="auto"/>
              <w:rPr>
                <w:rFonts w:cstheme="minorHAnsi"/>
              </w:rPr>
            </w:pPr>
            <w:r w:rsidRPr="005A35D3">
              <w:rPr>
                <w:rFonts w:cstheme="minorHAnsi"/>
              </w:rPr>
              <w:t>630</w:t>
            </w:r>
          </w:p>
          <w:p w:rsidR="00B04E96" w:rsidRPr="005A35D3" w:rsidRDefault="00B04E96" w:rsidP="005A35D3">
            <w:pPr>
              <w:spacing w:line="276" w:lineRule="auto"/>
              <w:rPr>
                <w:rFonts w:cstheme="minorHAnsi"/>
              </w:rPr>
            </w:pPr>
          </w:p>
          <w:p w:rsidR="00B04E96" w:rsidRPr="005A35D3" w:rsidRDefault="00B04E96" w:rsidP="005A35D3">
            <w:pPr>
              <w:spacing w:line="276" w:lineRule="auto"/>
              <w:rPr>
                <w:rFonts w:cstheme="minorHAnsi"/>
              </w:rPr>
            </w:pPr>
          </w:p>
        </w:tc>
        <w:tc>
          <w:tcPr>
            <w:tcW w:w="993" w:type="dxa"/>
          </w:tcPr>
          <w:p w:rsidR="00B04E96" w:rsidRPr="005A35D3" w:rsidRDefault="00B04E96" w:rsidP="005A35D3">
            <w:pPr>
              <w:spacing w:line="276" w:lineRule="auto"/>
              <w:rPr>
                <w:rFonts w:cstheme="minorHAnsi"/>
              </w:rPr>
            </w:pPr>
            <w:r w:rsidRPr="005A35D3">
              <w:rPr>
                <w:rFonts w:cstheme="minorHAnsi"/>
              </w:rPr>
              <w:t>621</w:t>
            </w:r>
          </w:p>
          <w:p w:rsidR="00B04E96" w:rsidRPr="005A35D3" w:rsidRDefault="00B04E96" w:rsidP="005A35D3">
            <w:pPr>
              <w:spacing w:line="276" w:lineRule="auto"/>
              <w:rPr>
                <w:rFonts w:cstheme="minorHAnsi"/>
              </w:rPr>
            </w:pPr>
            <w:r w:rsidRPr="005A35D3">
              <w:rPr>
                <w:rFonts w:cstheme="minorHAnsi"/>
              </w:rPr>
              <w:t>472</w:t>
            </w:r>
          </w:p>
        </w:tc>
        <w:tc>
          <w:tcPr>
            <w:tcW w:w="3969" w:type="dxa"/>
          </w:tcPr>
          <w:p w:rsidR="00B04E96" w:rsidRPr="005A35D3" w:rsidRDefault="00B04E96" w:rsidP="005A35D3">
            <w:pPr>
              <w:spacing w:line="276" w:lineRule="auto"/>
              <w:rPr>
                <w:rFonts w:cstheme="minorHAnsi"/>
              </w:rPr>
            </w:pPr>
            <w:r w:rsidRPr="005A35D3">
              <w:rPr>
                <w:rFonts w:cstheme="minorHAnsi"/>
              </w:rPr>
              <w:t>1/12/1 Por el pago del alquiler</w:t>
            </w:r>
          </w:p>
        </w:tc>
        <w:tc>
          <w:tcPr>
            <w:tcW w:w="1275" w:type="dxa"/>
          </w:tcPr>
          <w:p w:rsidR="00B04E96" w:rsidRPr="005A35D3" w:rsidRDefault="00B04E96" w:rsidP="005A35D3">
            <w:pPr>
              <w:spacing w:line="276" w:lineRule="auto"/>
              <w:rPr>
                <w:rFonts w:cstheme="minorHAnsi"/>
              </w:rPr>
            </w:pPr>
            <w:r w:rsidRPr="005A35D3">
              <w:rPr>
                <w:rFonts w:cstheme="minorHAnsi"/>
              </w:rPr>
              <w:t>4751</w:t>
            </w:r>
          </w:p>
          <w:p w:rsidR="00B04E96" w:rsidRPr="005A35D3" w:rsidRDefault="00B04E96" w:rsidP="005A35D3">
            <w:pPr>
              <w:spacing w:line="276" w:lineRule="auto"/>
              <w:rPr>
                <w:rFonts w:cstheme="minorHAnsi"/>
              </w:rPr>
            </w:pPr>
            <w:r w:rsidRPr="005A35D3">
              <w:rPr>
                <w:rFonts w:cstheme="minorHAnsi"/>
              </w:rPr>
              <w:t>572</w:t>
            </w:r>
          </w:p>
          <w:p w:rsidR="00B04E96" w:rsidRPr="005A35D3" w:rsidRDefault="00B04E96" w:rsidP="005A35D3">
            <w:pPr>
              <w:spacing w:line="276" w:lineRule="auto"/>
              <w:rPr>
                <w:rFonts w:cstheme="minorHAnsi"/>
              </w:rPr>
            </w:pPr>
          </w:p>
        </w:tc>
        <w:tc>
          <w:tcPr>
            <w:tcW w:w="1165" w:type="dxa"/>
          </w:tcPr>
          <w:p w:rsidR="00B04E96" w:rsidRPr="005A35D3" w:rsidRDefault="00B04E96" w:rsidP="005A35D3">
            <w:pPr>
              <w:spacing w:line="276" w:lineRule="auto"/>
              <w:rPr>
                <w:rFonts w:cstheme="minorHAnsi"/>
              </w:rPr>
            </w:pPr>
            <w:r w:rsidRPr="005A35D3">
              <w:rPr>
                <w:rFonts w:cstheme="minorHAnsi"/>
              </w:rPr>
              <w:t>570</w:t>
            </w:r>
          </w:p>
          <w:p w:rsidR="00B04E96" w:rsidRPr="005A35D3" w:rsidRDefault="00B04E96" w:rsidP="005A35D3">
            <w:pPr>
              <w:spacing w:line="276" w:lineRule="auto"/>
              <w:rPr>
                <w:rFonts w:cstheme="minorHAnsi"/>
              </w:rPr>
            </w:pPr>
            <w:r w:rsidRPr="005A35D3">
              <w:rPr>
                <w:rFonts w:cstheme="minorHAnsi"/>
              </w:rPr>
              <w:t>3060</w:t>
            </w:r>
          </w:p>
          <w:p w:rsidR="00B04E96" w:rsidRPr="005A35D3" w:rsidRDefault="00B04E96" w:rsidP="005A35D3">
            <w:pPr>
              <w:spacing w:line="276" w:lineRule="auto"/>
              <w:rPr>
                <w:rFonts w:cstheme="minorHAnsi"/>
              </w:rPr>
            </w:pPr>
          </w:p>
        </w:tc>
      </w:tr>
      <w:tr w:rsidR="00B04E96" w:rsidRPr="005A35D3" w:rsidTr="00045BD0">
        <w:tc>
          <w:tcPr>
            <w:tcW w:w="1242" w:type="dxa"/>
          </w:tcPr>
          <w:p w:rsidR="00B04E96" w:rsidRPr="005A35D3" w:rsidRDefault="00B04E96" w:rsidP="005A35D3">
            <w:pPr>
              <w:spacing w:line="276" w:lineRule="auto"/>
              <w:rPr>
                <w:rFonts w:cstheme="minorHAnsi"/>
              </w:rPr>
            </w:pPr>
            <w:r w:rsidRPr="005A35D3">
              <w:rPr>
                <w:rFonts w:cstheme="minorHAnsi"/>
              </w:rPr>
              <w:t>2000</w:t>
            </w:r>
          </w:p>
        </w:tc>
        <w:tc>
          <w:tcPr>
            <w:tcW w:w="993" w:type="dxa"/>
          </w:tcPr>
          <w:p w:rsidR="00B04E96" w:rsidRPr="005A35D3" w:rsidRDefault="00B04E96" w:rsidP="005A35D3">
            <w:pPr>
              <w:spacing w:line="276" w:lineRule="auto"/>
              <w:rPr>
                <w:rFonts w:cstheme="minorHAnsi"/>
              </w:rPr>
            </w:pPr>
            <w:r w:rsidRPr="005A35D3">
              <w:rPr>
                <w:rFonts w:cstheme="minorHAnsi"/>
              </w:rPr>
              <w:t>480</w:t>
            </w:r>
          </w:p>
        </w:tc>
        <w:tc>
          <w:tcPr>
            <w:tcW w:w="3969" w:type="dxa"/>
          </w:tcPr>
          <w:p w:rsidR="00B04E96" w:rsidRPr="005A35D3" w:rsidRDefault="00B04E96" w:rsidP="005A35D3">
            <w:pPr>
              <w:spacing w:line="276" w:lineRule="auto"/>
              <w:rPr>
                <w:rFonts w:cstheme="minorHAnsi"/>
              </w:rPr>
            </w:pPr>
            <w:r w:rsidRPr="005A35D3">
              <w:rPr>
                <w:rFonts w:cstheme="minorHAnsi"/>
              </w:rPr>
              <w:t>31/12/01 Por la periodificación</w:t>
            </w:r>
          </w:p>
        </w:tc>
        <w:tc>
          <w:tcPr>
            <w:tcW w:w="1275" w:type="dxa"/>
          </w:tcPr>
          <w:p w:rsidR="00B04E96" w:rsidRPr="005A35D3" w:rsidRDefault="00B04E96" w:rsidP="005A35D3">
            <w:pPr>
              <w:spacing w:line="276" w:lineRule="auto"/>
              <w:rPr>
                <w:rFonts w:cstheme="minorHAnsi"/>
              </w:rPr>
            </w:pPr>
            <w:r w:rsidRPr="005A35D3">
              <w:rPr>
                <w:rFonts w:cstheme="minorHAnsi"/>
              </w:rPr>
              <w:t>621</w:t>
            </w:r>
          </w:p>
        </w:tc>
        <w:tc>
          <w:tcPr>
            <w:tcW w:w="1165" w:type="dxa"/>
          </w:tcPr>
          <w:p w:rsidR="00B04E96" w:rsidRPr="005A35D3" w:rsidRDefault="00B04E96" w:rsidP="005A35D3">
            <w:pPr>
              <w:spacing w:line="276" w:lineRule="auto"/>
              <w:rPr>
                <w:rFonts w:cstheme="minorHAnsi"/>
              </w:rPr>
            </w:pPr>
            <w:r w:rsidRPr="005A35D3">
              <w:rPr>
                <w:rFonts w:cstheme="minorHAnsi"/>
              </w:rPr>
              <w:t>2000</w:t>
            </w:r>
          </w:p>
        </w:tc>
      </w:tr>
      <w:tr w:rsidR="00B04E96" w:rsidRPr="005A35D3" w:rsidTr="00045BD0">
        <w:tc>
          <w:tcPr>
            <w:tcW w:w="1242" w:type="dxa"/>
          </w:tcPr>
          <w:p w:rsidR="00B04E96" w:rsidRPr="005A35D3" w:rsidRDefault="00B04E96" w:rsidP="005A35D3">
            <w:pPr>
              <w:spacing w:line="276" w:lineRule="auto"/>
              <w:rPr>
                <w:rFonts w:cstheme="minorHAnsi"/>
              </w:rPr>
            </w:pPr>
            <w:r w:rsidRPr="005A35D3">
              <w:rPr>
                <w:rFonts w:cstheme="minorHAnsi"/>
              </w:rPr>
              <w:t>2000</w:t>
            </w:r>
          </w:p>
        </w:tc>
        <w:tc>
          <w:tcPr>
            <w:tcW w:w="993" w:type="dxa"/>
          </w:tcPr>
          <w:p w:rsidR="00B04E96" w:rsidRPr="005A35D3" w:rsidRDefault="00B04E96" w:rsidP="005A35D3">
            <w:pPr>
              <w:spacing w:line="276" w:lineRule="auto"/>
              <w:rPr>
                <w:rFonts w:cstheme="minorHAnsi"/>
              </w:rPr>
            </w:pPr>
            <w:r w:rsidRPr="005A35D3">
              <w:rPr>
                <w:rFonts w:cstheme="minorHAnsi"/>
              </w:rPr>
              <w:t>621</w:t>
            </w:r>
          </w:p>
        </w:tc>
        <w:tc>
          <w:tcPr>
            <w:tcW w:w="3969" w:type="dxa"/>
          </w:tcPr>
          <w:p w:rsidR="00B04E96" w:rsidRPr="005A35D3" w:rsidRDefault="00B04E96" w:rsidP="005A35D3">
            <w:pPr>
              <w:spacing w:line="276" w:lineRule="auto"/>
              <w:rPr>
                <w:rFonts w:cstheme="minorHAnsi"/>
              </w:rPr>
            </w:pPr>
            <w:r w:rsidRPr="005A35D3">
              <w:rPr>
                <w:rFonts w:cstheme="minorHAnsi"/>
              </w:rPr>
              <w:t>Enero/02 Por la imputación del alquiler correspondiente al ejercicio 02</w:t>
            </w:r>
          </w:p>
        </w:tc>
        <w:tc>
          <w:tcPr>
            <w:tcW w:w="1275" w:type="dxa"/>
          </w:tcPr>
          <w:p w:rsidR="00B04E96" w:rsidRPr="005A35D3" w:rsidRDefault="00B04E96" w:rsidP="005A35D3">
            <w:pPr>
              <w:spacing w:line="276" w:lineRule="auto"/>
              <w:rPr>
                <w:rFonts w:cstheme="minorHAnsi"/>
              </w:rPr>
            </w:pPr>
            <w:r w:rsidRPr="005A35D3">
              <w:rPr>
                <w:rFonts w:cstheme="minorHAnsi"/>
              </w:rPr>
              <w:t>480</w:t>
            </w:r>
          </w:p>
        </w:tc>
        <w:tc>
          <w:tcPr>
            <w:tcW w:w="1165" w:type="dxa"/>
          </w:tcPr>
          <w:p w:rsidR="00B04E96" w:rsidRPr="005A35D3" w:rsidRDefault="00B04E96" w:rsidP="005A35D3">
            <w:pPr>
              <w:spacing w:line="276" w:lineRule="auto"/>
              <w:rPr>
                <w:rFonts w:cstheme="minorHAnsi"/>
              </w:rPr>
            </w:pPr>
            <w:r w:rsidRPr="005A35D3">
              <w:rPr>
                <w:rFonts w:cstheme="minorHAnsi"/>
              </w:rPr>
              <w:t>2000</w:t>
            </w:r>
          </w:p>
        </w:tc>
      </w:tr>
    </w:tbl>
    <w:p w:rsidR="00B04E96" w:rsidRPr="005A35D3" w:rsidRDefault="00B04E96" w:rsidP="005A35D3">
      <w:pPr>
        <w:spacing w:after="0" w:line="276" w:lineRule="auto"/>
        <w:rPr>
          <w:rFonts w:cstheme="minorHAnsi"/>
        </w:rPr>
      </w:pPr>
    </w:p>
    <w:p w:rsidR="00B04E96" w:rsidRPr="005A35D3" w:rsidRDefault="00B04E96" w:rsidP="005A35D3">
      <w:pPr>
        <w:spacing w:after="0" w:line="276" w:lineRule="auto"/>
        <w:rPr>
          <w:rFonts w:cstheme="minorHAnsi"/>
        </w:rPr>
      </w:pPr>
      <w:r w:rsidRPr="005A35D3">
        <w:rPr>
          <w:rFonts w:cstheme="minorHAnsi"/>
        </w:rPr>
        <w:t>Contabilizar el ejemplo anterior desde el punto de vista del arrendador.</w:t>
      </w:r>
    </w:p>
    <w:tbl>
      <w:tblPr>
        <w:tblStyle w:val="Tablaconcuadrcula"/>
        <w:tblW w:w="0" w:type="auto"/>
        <w:tblLook w:val="04A0"/>
      </w:tblPr>
      <w:tblGrid>
        <w:gridCol w:w="1242"/>
        <w:gridCol w:w="993"/>
        <w:gridCol w:w="3969"/>
        <w:gridCol w:w="1275"/>
        <w:gridCol w:w="1165"/>
      </w:tblGrid>
      <w:tr w:rsidR="00B04E96" w:rsidRPr="005A35D3" w:rsidTr="00045BD0">
        <w:tc>
          <w:tcPr>
            <w:tcW w:w="1242" w:type="dxa"/>
          </w:tcPr>
          <w:p w:rsidR="00B04E96" w:rsidRPr="005A35D3" w:rsidRDefault="00B04E96" w:rsidP="005A35D3">
            <w:pPr>
              <w:spacing w:line="276" w:lineRule="auto"/>
              <w:rPr>
                <w:rFonts w:cstheme="minorHAnsi"/>
              </w:rPr>
            </w:pPr>
            <w:r w:rsidRPr="005A35D3">
              <w:rPr>
                <w:rFonts w:cstheme="minorHAnsi"/>
              </w:rPr>
              <w:t>570</w:t>
            </w:r>
          </w:p>
          <w:p w:rsidR="00B04E96" w:rsidRPr="005A35D3" w:rsidRDefault="00B04E96" w:rsidP="005A35D3">
            <w:pPr>
              <w:spacing w:line="276" w:lineRule="auto"/>
              <w:rPr>
                <w:rFonts w:cstheme="minorHAnsi"/>
              </w:rPr>
            </w:pPr>
            <w:r w:rsidRPr="005A35D3">
              <w:rPr>
                <w:rFonts w:cstheme="minorHAnsi"/>
              </w:rPr>
              <w:t>3060</w:t>
            </w:r>
          </w:p>
          <w:p w:rsidR="00B04E96" w:rsidRPr="005A35D3" w:rsidRDefault="00B04E96" w:rsidP="005A35D3">
            <w:pPr>
              <w:spacing w:line="276" w:lineRule="auto"/>
              <w:rPr>
                <w:rFonts w:cstheme="minorHAnsi"/>
              </w:rPr>
            </w:pPr>
          </w:p>
          <w:p w:rsidR="00B04E96" w:rsidRPr="005A35D3" w:rsidRDefault="00B04E96" w:rsidP="005A35D3">
            <w:pPr>
              <w:spacing w:line="276" w:lineRule="auto"/>
              <w:rPr>
                <w:rFonts w:cstheme="minorHAnsi"/>
              </w:rPr>
            </w:pPr>
          </w:p>
        </w:tc>
        <w:tc>
          <w:tcPr>
            <w:tcW w:w="993" w:type="dxa"/>
          </w:tcPr>
          <w:p w:rsidR="00B04E96" w:rsidRPr="005A35D3" w:rsidRDefault="00B04E96" w:rsidP="005A35D3">
            <w:pPr>
              <w:spacing w:line="276" w:lineRule="auto"/>
              <w:rPr>
                <w:rFonts w:cstheme="minorHAnsi"/>
              </w:rPr>
            </w:pPr>
            <w:r w:rsidRPr="005A35D3">
              <w:rPr>
                <w:rFonts w:cstheme="minorHAnsi"/>
              </w:rPr>
              <w:t>473</w:t>
            </w:r>
          </w:p>
          <w:p w:rsidR="00B04E96" w:rsidRPr="005A35D3" w:rsidRDefault="00B04E96" w:rsidP="005A35D3">
            <w:pPr>
              <w:spacing w:line="276" w:lineRule="auto"/>
              <w:rPr>
                <w:rFonts w:cstheme="minorHAnsi"/>
              </w:rPr>
            </w:pPr>
            <w:r w:rsidRPr="005A35D3">
              <w:rPr>
                <w:rFonts w:cstheme="minorHAnsi"/>
              </w:rPr>
              <w:t>572</w:t>
            </w:r>
          </w:p>
        </w:tc>
        <w:tc>
          <w:tcPr>
            <w:tcW w:w="3969" w:type="dxa"/>
          </w:tcPr>
          <w:p w:rsidR="00B04E96" w:rsidRPr="005A35D3" w:rsidRDefault="00B04E96" w:rsidP="005A35D3">
            <w:pPr>
              <w:spacing w:line="276" w:lineRule="auto"/>
              <w:rPr>
                <w:rFonts w:cstheme="minorHAnsi"/>
              </w:rPr>
            </w:pPr>
            <w:r w:rsidRPr="005A35D3">
              <w:rPr>
                <w:rFonts w:cstheme="minorHAnsi"/>
              </w:rPr>
              <w:t>1/12/1 Por el cobro del alquiler</w:t>
            </w:r>
          </w:p>
        </w:tc>
        <w:tc>
          <w:tcPr>
            <w:tcW w:w="1275" w:type="dxa"/>
          </w:tcPr>
          <w:p w:rsidR="00B04E96" w:rsidRPr="005A35D3" w:rsidRDefault="00B04E96" w:rsidP="005A35D3">
            <w:pPr>
              <w:spacing w:line="276" w:lineRule="auto"/>
              <w:rPr>
                <w:rFonts w:cstheme="minorHAnsi"/>
              </w:rPr>
            </w:pPr>
            <w:r w:rsidRPr="005A35D3">
              <w:rPr>
                <w:rFonts w:cstheme="minorHAnsi"/>
              </w:rPr>
              <w:t>752</w:t>
            </w:r>
          </w:p>
          <w:p w:rsidR="00B04E96" w:rsidRPr="005A35D3" w:rsidRDefault="00B04E96" w:rsidP="005A35D3">
            <w:pPr>
              <w:spacing w:line="276" w:lineRule="auto"/>
              <w:rPr>
                <w:rFonts w:cstheme="minorHAnsi"/>
              </w:rPr>
            </w:pPr>
            <w:r w:rsidRPr="005A35D3">
              <w:rPr>
                <w:rFonts w:cstheme="minorHAnsi"/>
              </w:rPr>
              <w:t>477</w:t>
            </w:r>
          </w:p>
        </w:tc>
        <w:tc>
          <w:tcPr>
            <w:tcW w:w="1165" w:type="dxa"/>
          </w:tcPr>
          <w:p w:rsidR="00B04E96" w:rsidRPr="005A35D3" w:rsidRDefault="00B04E96" w:rsidP="005A35D3">
            <w:pPr>
              <w:spacing w:line="276" w:lineRule="auto"/>
              <w:rPr>
                <w:rFonts w:cstheme="minorHAnsi"/>
              </w:rPr>
            </w:pPr>
            <w:r w:rsidRPr="005A35D3">
              <w:rPr>
                <w:rFonts w:cstheme="minorHAnsi"/>
              </w:rPr>
              <w:t>3000</w:t>
            </w:r>
          </w:p>
          <w:p w:rsidR="00B04E96" w:rsidRPr="005A35D3" w:rsidRDefault="00B04E96" w:rsidP="005A35D3">
            <w:pPr>
              <w:spacing w:line="276" w:lineRule="auto"/>
              <w:rPr>
                <w:rFonts w:cstheme="minorHAnsi"/>
              </w:rPr>
            </w:pPr>
            <w:r w:rsidRPr="005A35D3">
              <w:rPr>
                <w:rFonts w:cstheme="minorHAnsi"/>
              </w:rPr>
              <w:t>630</w:t>
            </w:r>
          </w:p>
        </w:tc>
      </w:tr>
      <w:tr w:rsidR="00B04E96" w:rsidRPr="005A35D3" w:rsidTr="00045BD0">
        <w:tc>
          <w:tcPr>
            <w:tcW w:w="1242" w:type="dxa"/>
          </w:tcPr>
          <w:p w:rsidR="00B04E96" w:rsidRPr="005A35D3" w:rsidRDefault="00B04E96" w:rsidP="005A35D3">
            <w:pPr>
              <w:spacing w:line="276" w:lineRule="auto"/>
              <w:rPr>
                <w:rFonts w:cstheme="minorHAnsi"/>
              </w:rPr>
            </w:pPr>
            <w:r w:rsidRPr="005A35D3">
              <w:rPr>
                <w:rFonts w:cstheme="minorHAnsi"/>
              </w:rPr>
              <w:t>2000</w:t>
            </w:r>
          </w:p>
        </w:tc>
        <w:tc>
          <w:tcPr>
            <w:tcW w:w="993" w:type="dxa"/>
          </w:tcPr>
          <w:p w:rsidR="00B04E96" w:rsidRPr="005A35D3" w:rsidRDefault="00B04E96" w:rsidP="005A35D3">
            <w:pPr>
              <w:spacing w:line="276" w:lineRule="auto"/>
              <w:rPr>
                <w:rFonts w:cstheme="minorHAnsi"/>
              </w:rPr>
            </w:pPr>
            <w:r w:rsidRPr="005A35D3">
              <w:rPr>
                <w:rFonts w:cstheme="minorHAnsi"/>
              </w:rPr>
              <w:t>752</w:t>
            </w:r>
          </w:p>
        </w:tc>
        <w:tc>
          <w:tcPr>
            <w:tcW w:w="3969" w:type="dxa"/>
          </w:tcPr>
          <w:p w:rsidR="00B04E96" w:rsidRPr="005A35D3" w:rsidRDefault="00B04E96" w:rsidP="005A35D3">
            <w:pPr>
              <w:spacing w:line="276" w:lineRule="auto"/>
              <w:rPr>
                <w:rFonts w:cstheme="minorHAnsi"/>
              </w:rPr>
            </w:pPr>
            <w:r w:rsidRPr="005A35D3">
              <w:rPr>
                <w:rFonts w:cstheme="minorHAnsi"/>
              </w:rPr>
              <w:t>31/12/01 Por la periodificación</w:t>
            </w:r>
          </w:p>
        </w:tc>
        <w:tc>
          <w:tcPr>
            <w:tcW w:w="1275" w:type="dxa"/>
          </w:tcPr>
          <w:p w:rsidR="00B04E96" w:rsidRPr="005A35D3" w:rsidRDefault="00B04E96" w:rsidP="005A35D3">
            <w:pPr>
              <w:spacing w:line="276" w:lineRule="auto"/>
              <w:rPr>
                <w:rFonts w:cstheme="minorHAnsi"/>
              </w:rPr>
            </w:pPr>
            <w:r w:rsidRPr="005A35D3">
              <w:rPr>
                <w:rFonts w:cstheme="minorHAnsi"/>
              </w:rPr>
              <w:t>485</w:t>
            </w:r>
          </w:p>
        </w:tc>
        <w:tc>
          <w:tcPr>
            <w:tcW w:w="1165" w:type="dxa"/>
          </w:tcPr>
          <w:p w:rsidR="00B04E96" w:rsidRPr="005A35D3" w:rsidRDefault="00B04E96" w:rsidP="005A35D3">
            <w:pPr>
              <w:spacing w:line="276" w:lineRule="auto"/>
              <w:rPr>
                <w:rFonts w:cstheme="minorHAnsi"/>
              </w:rPr>
            </w:pPr>
            <w:r w:rsidRPr="005A35D3">
              <w:rPr>
                <w:rFonts w:cstheme="minorHAnsi"/>
              </w:rPr>
              <w:t>2000</w:t>
            </w:r>
          </w:p>
        </w:tc>
      </w:tr>
      <w:tr w:rsidR="00B04E96" w:rsidRPr="005A35D3" w:rsidTr="00045BD0">
        <w:tc>
          <w:tcPr>
            <w:tcW w:w="1242" w:type="dxa"/>
          </w:tcPr>
          <w:p w:rsidR="00B04E96" w:rsidRPr="005A35D3" w:rsidRDefault="00B04E96" w:rsidP="005A35D3">
            <w:pPr>
              <w:spacing w:line="276" w:lineRule="auto"/>
              <w:rPr>
                <w:rFonts w:cstheme="minorHAnsi"/>
              </w:rPr>
            </w:pPr>
            <w:r w:rsidRPr="005A35D3">
              <w:rPr>
                <w:rFonts w:cstheme="minorHAnsi"/>
              </w:rPr>
              <w:t>2000</w:t>
            </w:r>
          </w:p>
        </w:tc>
        <w:tc>
          <w:tcPr>
            <w:tcW w:w="993" w:type="dxa"/>
          </w:tcPr>
          <w:p w:rsidR="00B04E96" w:rsidRPr="005A35D3" w:rsidRDefault="00B04E96" w:rsidP="005A35D3">
            <w:pPr>
              <w:spacing w:line="276" w:lineRule="auto"/>
              <w:rPr>
                <w:rFonts w:cstheme="minorHAnsi"/>
              </w:rPr>
            </w:pPr>
            <w:r w:rsidRPr="005A35D3">
              <w:rPr>
                <w:rFonts w:cstheme="minorHAnsi"/>
              </w:rPr>
              <w:t>485</w:t>
            </w:r>
          </w:p>
        </w:tc>
        <w:tc>
          <w:tcPr>
            <w:tcW w:w="3969" w:type="dxa"/>
          </w:tcPr>
          <w:p w:rsidR="00B04E96" w:rsidRPr="005A35D3" w:rsidRDefault="00B04E96" w:rsidP="005A35D3">
            <w:pPr>
              <w:spacing w:line="276" w:lineRule="auto"/>
              <w:rPr>
                <w:rFonts w:cstheme="minorHAnsi"/>
              </w:rPr>
            </w:pPr>
            <w:r w:rsidRPr="005A35D3">
              <w:rPr>
                <w:rFonts w:cstheme="minorHAnsi"/>
              </w:rPr>
              <w:t>Enero/02 Por la imputación del alquiler correspondiente al ejercicio 02</w:t>
            </w:r>
          </w:p>
        </w:tc>
        <w:tc>
          <w:tcPr>
            <w:tcW w:w="1275" w:type="dxa"/>
          </w:tcPr>
          <w:p w:rsidR="00B04E96" w:rsidRPr="005A35D3" w:rsidRDefault="00B04E96" w:rsidP="005A35D3">
            <w:pPr>
              <w:spacing w:line="276" w:lineRule="auto"/>
              <w:rPr>
                <w:rFonts w:cstheme="minorHAnsi"/>
              </w:rPr>
            </w:pPr>
            <w:r w:rsidRPr="005A35D3">
              <w:rPr>
                <w:rFonts w:cstheme="minorHAnsi"/>
              </w:rPr>
              <w:t>752</w:t>
            </w:r>
          </w:p>
        </w:tc>
        <w:tc>
          <w:tcPr>
            <w:tcW w:w="1165" w:type="dxa"/>
          </w:tcPr>
          <w:p w:rsidR="00B04E96" w:rsidRPr="005A35D3" w:rsidRDefault="00B04E96" w:rsidP="005A35D3">
            <w:pPr>
              <w:spacing w:line="276" w:lineRule="auto"/>
              <w:rPr>
                <w:rFonts w:cstheme="minorHAnsi"/>
              </w:rPr>
            </w:pPr>
            <w:r w:rsidRPr="005A35D3">
              <w:rPr>
                <w:rFonts w:cstheme="minorHAnsi"/>
              </w:rPr>
              <w:t>2000</w:t>
            </w:r>
          </w:p>
        </w:tc>
      </w:tr>
    </w:tbl>
    <w:p w:rsidR="00B04E96" w:rsidRPr="005A35D3" w:rsidRDefault="00B04E96" w:rsidP="005A35D3">
      <w:pPr>
        <w:pStyle w:val="Default"/>
        <w:spacing w:line="276" w:lineRule="auto"/>
        <w:rPr>
          <w:rFonts w:asciiTheme="minorHAnsi" w:hAnsiTheme="minorHAnsi" w:cstheme="minorHAnsi"/>
          <w:sz w:val="22"/>
          <w:szCs w:val="22"/>
        </w:rPr>
      </w:pPr>
    </w:p>
    <w:p w:rsidR="00B04E96" w:rsidRPr="005A35D3" w:rsidRDefault="00B04E96" w:rsidP="005A35D3">
      <w:pPr>
        <w:pStyle w:val="Default"/>
        <w:spacing w:line="276" w:lineRule="auto"/>
        <w:rPr>
          <w:rFonts w:asciiTheme="minorHAnsi" w:hAnsiTheme="minorHAnsi" w:cstheme="minorHAnsi"/>
          <w:b/>
          <w:i/>
          <w:sz w:val="22"/>
          <w:szCs w:val="22"/>
        </w:rPr>
      </w:pPr>
      <w:r w:rsidRPr="005A35D3">
        <w:rPr>
          <w:rFonts w:asciiTheme="minorHAnsi" w:hAnsiTheme="minorHAnsi" w:cstheme="minorHAnsi"/>
          <w:b/>
          <w:i/>
          <w:sz w:val="22"/>
          <w:szCs w:val="22"/>
        </w:rPr>
        <w:t xml:space="preserve">3.5. Deterioros de créditos. Pérdidas definitivas de créditos. </w:t>
      </w:r>
    </w:p>
    <w:p w:rsidR="00B04E96" w:rsidRPr="005A35D3" w:rsidRDefault="00B04E96" w:rsidP="005A35D3">
      <w:pPr>
        <w:spacing w:after="0" w:line="276" w:lineRule="auto"/>
        <w:rPr>
          <w:rFonts w:cstheme="minorHAnsi"/>
        </w:rPr>
      </w:pPr>
      <w:r w:rsidRPr="005A35D3">
        <w:rPr>
          <w:rFonts w:cstheme="minorHAnsi"/>
        </w:rPr>
        <w:t>La </w:t>
      </w:r>
      <w:hyperlink r:id="rId5" w:tgtFrame="_self" w:history="1">
        <w:r w:rsidRPr="005A35D3">
          <w:rPr>
            <w:rStyle w:val="Hipervnculo"/>
            <w:rFonts w:cstheme="minorHAnsi"/>
          </w:rPr>
          <w:t>cuenta (490)</w:t>
        </w:r>
      </w:hyperlink>
      <w:r w:rsidRPr="005A35D3">
        <w:rPr>
          <w:rFonts w:cstheme="minorHAnsi"/>
        </w:rPr>
        <w:t> recoge el importe del deterioro dotado para atender deudas incobrables con origen en las operaciones de tráfico (insolvencias de clientes y deudores).</w:t>
      </w:r>
    </w:p>
    <w:p w:rsidR="00B04E96" w:rsidRPr="005A35D3" w:rsidRDefault="00B04E96" w:rsidP="005A35D3">
      <w:pPr>
        <w:spacing w:after="0" w:line="276" w:lineRule="auto"/>
        <w:rPr>
          <w:rFonts w:cstheme="minorHAnsi"/>
        </w:rPr>
      </w:pPr>
      <w:r w:rsidRPr="005A35D3">
        <w:rPr>
          <w:rFonts w:cstheme="minorHAnsi"/>
        </w:rPr>
        <w:t>Sí seguimos el método individualizado, por cada cliente de dudoso cobro se generará el correspondiente asiento de deterioro representado.</w:t>
      </w:r>
    </w:p>
    <w:p w:rsidR="00B04E96" w:rsidRPr="005A35D3" w:rsidRDefault="00B04E96" w:rsidP="005A35D3">
      <w:pPr>
        <w:spacing w:after="0" w:line="276" w:lineRule="auto"/>
        <w:rPr>
          <w:rFonts w:cstheme="minorHAnsi"/>
        </w:rPr>
      </w:pPr>
      <w:r w:rsidRPr="005A35D3">
        <w:rPr>
          <w:rFonts w:cstheme="minorHAnsi"/>
        </w:rPr>
        <w:t>Caso de utilizar el método global, simplemente haremos una estimación al cierre del ejercicio económico y el consiguiente ajuste de los deterioros dotados en ejercicios precedentes.</w:t>
      </w:r>
    </w:p>
    <w:p w:rsidR="00B04E96" w:rsidRPr="005A35D3" w:rsidRDefault="00B04E96" w:rsidP="005A35D3">
      <w:pPr>
        <w:spacing w:after="0" w:line="276" w:lineRule="auto"/>
        <w:rPr>
          <w:rFonts w:cstheme="minorHAnsi"/>
        </w:rPr>
      </w:pPr>
      <w:r w:rsidRPr="005A35D3">
        <w:rPr>
          <w:rFonts w:cstheme="minorHAnsi"/>
        </w:rPr>
        <w:t>Recordar que el registro contable de un deterioro se dará cuando la operación NO SEA DEFINITIVA o dicho de otra forma quepa la posibilidad de ser REVERSIBLE.</w:t>
      </w:r>
    </w:p>
    <w:p w:rsidR="00B04E96" w:rsidRPr="005A35D3" w:rsidRDefault="00B04E96" w:rsidP="005A35D3">
      <w:pPr>
        <w:spacing w:after="0" w:line="276" w:lineRule="auto"/>
        <w:rPr>
          <w:rFonts w:cstheme="minorHAnsi"/>
        </w:rPr>
      </w:pPr>
      <w:r w:rsidRPr="005A35D3">
        <w:rPr>
          <w:rFonts w:cstheme="minorHAnsi"/>
        </w:rPr>
        <w:t>En el transcurso del año siempre que existan clientes que definitivamente no paguen se anotará el asiento presentado a continuación:</w:t>
      </w:r>
    </w:p>
    <w:tbl>
      <w:tblPr>
        <w:tblW w:w="0" w:type="auto"/>
        <w:tblBorders>
          <w:top w:val="single" w:sz="6" w:space="0" w:color="423222"/>
          <w:left w:val="single" w:sz="6" w:space="0" w:color="423222"/>
          <w:bottom w:val="single" w:sz="6" w:space="0" w:color="423222"/>
          <w:right w:val="single" w:sz="6" w:space="0" w:color="423222"/>
        </w:tblBorders>
        <w:shd w:val="clear" w:color="auto" w:fill="FFFFFF"/>
        <w:tblCellMar>
          <w:left w:w="0" w:type="dxa"/>
          <w:right w:w="0" w:type="dxa"/>
        </w:tblCellMar>
        <w:tblLook w:val="04A0"/>
      </w:tblPr>
      <w:tblGrid>
        <w:gridCol w:w="4536"/>
        <w:gridCol w:w="470"/>
        <w:gridCol w:w="545"/>
      </w:tblGrid>
      <w:tr w:rsidR="00B04E96" w:rsidRPr="005A35D3" w:rsidTr="00045BD0">
        <w:tc>
          <w:tcPr>
            <w:tcW w:w="0" w:type="auto"/>
            <w:tcBorders>
              <w:top w:val="nil"/>
              <w:left w:val="nil"/>
              <w:bottom w:val="nil"/>
              <w:right w:val="nil"/>
            </w:tcBorders>
            <w:shd w:val="clear" w:color="auto" w:fill="423222"/>
            <w:vAlign w:val="center"/>
            <w:hideMark/>
          </w:tcPr>
          <w:p w:rsidR="00B04E96" w:rsidRPr="005A35D3" w:rsidRDefault="00B04E96" w:rsidP="005A35D3">
            <w:pPr>
              <w:spacing w:after="0" w:line="276" w:lineRule="auto"/>
              <w:jc w:val="both"/>
              <w:rPr>
                <w:rFonts w:cstheme="minorHAnsi"/>
                <w:color w:val="FFFFFF"/>
              </w:rPr>
            </w:pPr>
            <w:r w:rsidRPr="005A35D3">
              <w:rPr>
                <w:rFonts w:cstheme="minorHAnsi"/>
                <w:color w:val="FFFFFF"/>
              </w:rPr>
              <w:t>Registro Contable - Libro Diario</w:t>
            </w:r>
          </w:p>
        </w:tc>
        <w:tc>
          <w:tcPr>
            <w:tcW w:w="0" w:type="auto"/>
            <w:tcBorders>
              <w:top w:val="nil"/>
              <w:left w:val="nil"/>
              <w:bottom w:val="nil"/>
              <w:right w:val="nil"/>
            </w:tcBorders>
            <w:shd w:val="clear" w:color="auto" w:fill="423222"/>
            <w:vAlign w:val="center"/>
            <w:hideMark/>
          </w:tcPr>
          <w:p w:rsidR="00B04E96" w:rsidRPr="005A35D3" w:rsidRDefault="00B04E96" w:rsidP="005A35D3">
            <w:pPr>
              <w:spacing w:after="0" w:line="276" w:lineRule="auto"/>
              <w:jc w:val="both"/>
              <w:rPr>
                <w:rFonts w:cstheme="minorHAnsi"/>
                <w:color w:val="FFFFFF"/>
              </w:rPr>
            </w:pPr>
            <w:r w:rsidRPr="005A35D3">
              <w:rPr>
                <w:rFonts w:cstheme="minorHAnsi"/>
                <w:color w:val="FFFFFF"/>
              </w:rPr>
              <w:t>Debe</w:t>
            </w:r>
          </w:p>
        </w:tc>
        <w:tc>
          <w:tcPr>
            <w:tcW w:w="0" w:type="auto"/>
            <w:tcBorders>
              <w:top w:val="nil"/>
              <w:left w:val="nil"/>
              <w:bottom w:val="nil"/>
              <w:right w:val="nil"/>
            </w:tcBorders>
            <w:shd w:val="clear" w:color="auto" w:fill="423222"/>
            <w:vAlign w:val="center"/>
            <w:hideMark/>
          </w:tcPr>
          <w:p w:rsidR="00B04E96" w:rsidRPr="005A35D3" w:rsidRDefault="00B04E96" w:rsidP="005A35D3">
            <w:pPr>
              <w:spacing w:after="0" w:line="276" w:lineRule="auto"/>
              <w:jc w:val="both"/>
              <w:rPr>
                <w:rFonts w:cstheme="minorHAnsi"/>
                <w:color w:val="FFFFFF"/>
              </w:rPr>
            </w:pPr>
            <w:r w:rsidRPr="005A35D3">
              <w:rPr>
                <w:rFonts w:cstheme="minorHAnsi"/>
                <w:color w:val="FFFFFF"/>
              </w:rPr>
              <w:t>Haber</w:t>
            </w:r>
          </w:p>
        </w:tc>
      </w:tr>
      <w:tr w:rsidR="00B04E96" w:rsidRPr="005A35D3" w:rsidTr="00045BD0">
        <w:tc>
          <w:tcPr>
            <w:tcW w:w="0" w:type="auto"/>
            <w:tcBorders>
              <w:top w:val="nil"/>
              <w:left w:val="nil"/>
              <w:bottom w:val="nil"/>
              <w:right w:val="nil"/>
            </w:tcBorders>
            <w:shd w:val="clear" w:color="auto" w:fill="FFFFFF"/>
            <w:vAlign w:val="center"/>
            <w:hideMark/>
          </w:tcPr>
          <w:p w:rsidR="00B04E96" w:rsidRPr="005A35D3" w:rsidRDefault="00B04E96" w:rsidP="005A35D3">
            <w:pPr>
              <w:spacing w:after="0" w:line="276" w:lineRule="auto"/>
              <w:jc w:val="both"/>
              <w:rPr>
                <w:rFonts w:cstheme="minorHAnsi"/>
                <w:color w:val="6C6C6C"/>
              </w:rPr>
            </w:pPr>
            <w:r w:rsidRPr="005A35D3">
              <w:rPr>
                <w:rFonts w:cstheme="minorHAnsi"/>
                <w:color w:val="6C6C6C"/>
              </w:rPr>
              <w:t>(650) Pérdidas de créditos comerciales incobrables</w:t>
            </w:r>
          </w:p>
        </w:tc>
        <w:tc>
          <w:tcPr>
            <w:tcW w:w="0" w:type="auto"/>
            <w:tcBorders>
              <w:top w:val="nil"/>
              <w:left w:val="nil"/>
              <w:bottom w:val="nil"/>
              <w:right w:val="nil"/>
            </w:tcBorders>
            <w:shd w:val="clear" w:color="auto" w:fill="FFFFFF"/>
            <w:vAlign w:val="center"/>
            <w:hideMark/>
          </w:tcPr>
          <w:p w:rsidR="00B04E96" w:rsidRPr="005A35D3" w:rsidRDefault="00B04E96" w:rsidP="005A35D3">
            <w:pPr>
              <w:spacing w:after="0" w:line="276" w:lineRule="auto"/>
              <w:jc w:val="both"/>
              <w:rPr>
                <w:rFonts w:cstheme="minorHAnsi"/>
                <w:color w:val="6C6C6C"/>
              </w:rPr>
            </w:pPr>
            <w:r w:rsidRPr="005A35D3">
              <w:rPr>
                <w:rFonts w:cstheme="minorHAnsi"/>
                <w:color w:val="6C6C6C"/>
              </w:rPr>
              <w:t>XXX</w:t>
            </w:r>
          </w:p>
        </w:tc>
        <w:tc>
          <w:tcPr>
            <w:tcW w:w="0" w:type="auto"/>
            <w:tcBorders>
              <w:top w:val="nil"/>
              <w:left w:val="nil"/>
              <w:bottom w:val="nil"/>
              <w:right w:val="nil"/>
            </w:tcBorders>
            <w:shd w:val="clear" w:color="auto" w:fill="FFFFFF"/>
            <w:vAlign w:val="center"/>
            <w:hideMark/>
          </w:tcPr>
          <w:p w:rsidR="00B04E96" w:rsidRPr="005A35D3" w:rsidRDefault="00B04E96" w:rsidP="005A35D3">
            <w:pPr>
              <w:spacing w:after="0" w:line="276" w:lineRule="auto"/>
              <w:jc w:val="both"/>
              <w:rPr>
                <w:rFonts w:cstheme="minorHAnsi"/>
                <w:color w:val="6C6C6C"/>
              </w:rPr>
            </w:pPr>
          </w:p>
        </w:tc>
      </w:tr>
      <w:tr w:rsidR="00B04E96" w:rsidRPr="005A35D3" w:rsidTr="00045BD0">
        <w:tc>
          <w:tcPr>
            <w:tcW w:w="0" w:type="auto"/>
            <w:tcBorders>
              <w:top w:val="nil"/>
              <w:left w:val="nil"/>
              <w:bottom w:val="nil"/>
              <w:right w:val="nil"/>
            </w:tcBorders>
            <w:shd w:val="clear" w:color="auto" w:fill="FDF4EB"/>
            <w:vAlign w:val="center"/>
            <w:hideMark/>
          </w:tcPr>
          <w:p w:rsidR="00B04E96" w:rsidRPr="005A35D3" w:rsidRDefault="00B04E96" w:rsidP="005A35D3">
            <w:pPr>
              <w:spacing w:after="0" w:line="276" w:lineRule="auto"/>
              <w:jc w:val="both"/>
              <w:rPr>
                <w:rFonts w:cstheme="minorHAnsi"/>
                <w:color w:val="6C6C6C"/>
              </w:rPr>
            </w:pPr>
            <w:r w:rsidRPr="005A35D3">
              <w:rPr>
                <w:rFonts w:cstheme="minorHAnsi"/>
                <w:color w:val="6C6C6C"/>
              </w:rPr>
              <w:t>a (430) Clientes</w:t>
            </w:r>
          </w:p>
        </w:tc>
        <w:tc>
          <w:tcPr>
            <w:tcW w:w="0" w:type="auto"/>
            <w:tcBorders>
              <w:top w:val="nil"/>
              <w:left w:val="nil"/>
              <w:bottom w:val="nil"/>
              <w:right w:val="nil"/>
            </w:tcBorders>
            <w:shd w:val="clear" w:color="auto" w:fill="FDF4EB"/>
            <w:vAlign w:val="center"/>
            <w:hideMark/>
          </w:tcPr>
          <w:p w:rsidR="00B04E96" w:rsidRPr="005A35D3" w:rsidRDefault="00B04E96" w:rsidP="005A35D3">
            <w:pPr>
              <w:spacing w:after="0" w:line="276" w:lineRule="auto"/>
              <w:jc w:val="both"/>
              <w:rPr>
                <w:rFonts w:cstheme="minorHAnsi"/>
                <w:color w:val="6C6C6C"/>
              </w:rPr>
            </w:pPr>
          </w:p>
        </w:tc>
        <w:tc>
          <w:tcPr>
            <w:tcW w:w="0" w:type="auto"/>
            <w:tcBorders>
              <w:top w:val="nil"/>
              <w:left w:val="nil"/>
              <w:bottom w:val="nil"/>
              <w:right w:val="nil"/>
            </w:tcBorders>
            <w:shd w:val="clear" w:color="auto" w:fill="FDF4EB"/>
            <w:vAlign w:val="center"/>
            <w:hideMark/>
          </w:tcPr>
          <w:p w:rsidR="00B04E96" w:rsidRPr="005A35D3" w:rsidRDefault="00B04E96" w:rsidP="005A35D3">
            <w:pPr>
              <w:spacing w:after="0" w:line="276" w:lineRule="auto"/>
              <w:jc w:val="both"/>
              <w:rPr>
                <w:rFonts w:cstheme="minorHAnsi"/>
                <w:color w:val="6C6C6C"/>
              </w:rPr>
            </w:pPr>
            <w:r w:rsidRPr="005A35D3">
              <w:rPr>
                <w:rFonts w:cstheme="minorHAnsi"/>
                <w:color w:val="6C6C6C"/>
              </w:rPr>
              <w:t>XXX</w:t>
            </w:r>
          </w:p>
        </w:tc>
      </w:tr>
      <w:tr w:rsidR="00B04E96" w:rsidRPr="005A35D3" w:rsidTr="00045BD0">
        <w:tc>
          <w:tcPr>
            <w:tcW w:w="0" w:type="auto"/>
            <w:tcBorders>
              <w:top w:val="nil"/>
              <w:left w:val="nil"/>
              <w:bottom w:val="nil"/>
              <w:right w:val="nil"/>
            </w:tcBorders>
            <w:shd w:val="clear" w:color="auto" w:fill="FDF4EB"/>
            <w:vAlign w:val="center"/>
            <w:hideMark/>
          </w:tcPr>
          <w:p w:rsidR="00B04E96" w:rsidRPr="005A35D3" w:rsidRDefault="00B04E96" w:rsidP="005A35D3">
            <w:pPr>
              <w:spacing w:after="0" w:line="276" w:lineRule="auto"/>
              <w:jc w:val="both"/>
              <w:rPr>
                <w:rFonts w:cstheme="minorHAnsi"/>
                <w:color w:val="6C6C6C"/>
              </w:rPr>
            </w:pPr>
            <w:r w:rsidRPr="005A35D3">
              <w:rPr>
                <w:rFonts w:cstheme="minorHAnsi"/>
                <w:color w:val="6C6C6C"/>
              </w:rPr>
              <w:t>a (436) Clientes de dudoso cobro</w:t>
            </w:r>
          </w:p>
        </w:tc>
        <w:tc>
          <w:tcPr>
            <w:tcW w:w="0" w:type="auto"/>
            <w:tcBorders>
              <w:top w:val="nil"/>
              <w:left w:val="nil"/>
              <w:bottom w:val="nil"/>
              <w:right w:val="nil"/>
            </w:tcBorders>
            <w:shd w:val="clear" w:color="auto" w:fill="FDF4EB"/>
            <w:vAlign w:val="center"/>
            <w:hideMark/>
          </w:tcPr>
          <w:p w:rsidR="00B04E96" w:rsidRPr="005A35D3" w:rsidRDefault="00B04E96" w:rsidP="005A35D3">
            <w:pPr>
              <w:spacing w:after="0" w:line="276" w:lineRule="auto"/>
              <w:jc w:val="both"/>
              <w:rPr>
                <w:rFonts w:cstheme="minorHAnsi"/>
                <w:color w:val="6C6C6C"/>
              </w:rPr>
            </w:pPr>
          </w:p>
        </w:tc>
        <w:tc>
          <w:tcPr>
            <w:tcW w:w="0" w:type="auto"/>
            <w:tcBorders>
              <w:top w:val="nil"/>
              <w:left w:val="nil"/>
              <w:bottom w:val="nil"/>
              <w:right w:val="nil"/>
            </w:tcBorders>
            <w:shd w:val="clear" w:color="auto" w:fill="FDF4EB"/>
            <w:vAlign w:val="center"/>
            <w:hideMark/>
          </w:tcPr>
          <w:p w:rsidR="00B04E96" w:rsidRPr="005A35D3" w:rsidRDefault="00B04E96" w:rsidP="005A35D3">
            <w:pPr>
              <w:spacing w:after="0" w:line="276" w:lineRule="auto"/>
              <w:jc w:val="both"/>
              <w:rPr>
                <w:rFonts w:cstheme="minorHAnsi"/>
                <w:color w:val="6C6C6C"/>
              </w:rPr>
            </w:pPr>
            <w:r w:rsidRPr="005A35D3">
              <w:rPr>
                <w:rFonts w:cstheme="minorHAnsi"/>
                <w:color w:val="6C6C6C"/>
              </w:rPr>
              <w:t>XXX</w:t>
            </w:r>
          </w:p>
        </w:tc>
      </w:tr>
    </w:tbl>
    <w:p w:rsidR="005A35D3" w:rsidRPr="005A35D3" w:rsidRDefault="00B04E96" w:rsidP="005A35D3">
      <w:pPr>
        <w:spacing w:after="0" w:line="276" w:lineRule="auto"/>
        <w:rPr>
          <w:rFonts w:cstheme="minorHAnsi"/>
        </w:rPr>
      </w:pPr>
      <w:r w:rsidRPr="005A35D3">
        <w:rPr>
          <w:rFonts w:cstheme="minorHAnsi"/>
        </w:rPr>
        <w:t>En este caso el importe del asiento anterior no incluirá el IVA repercutido que nos debe el cliente, para saldar el IVA que nos debe y que no tenemos porqué pagar nosotros a Hacienda se realizará simultáneamente el asiento siguiente: (ahora bien, cierto es que la recuperación del IVA ingresado en la AEAT por insolvencias, lleva acompañada una serie de trámites formales que puede hacer variar el asiento presentado, algo que no es objeto del presente comentario).</w:t>
      </w:r>
    </w:p>
    <w:tbl>
      <w:tblPr>
        <w:tblW w:w="0" w:type="auto"/>
        <w:tblBorders>
          <w:top w:val="single" w:sz="6" w:space="0" w:color="423222"/>
          <w:left w:val="single" w:sz="6" w:space="0" w:color="423222"/>
          <w:bottom w:val="single" w:sz="6" w:space="0" w:color="423222"/>
          <w:right w:val="single" w:sz="6" w:space="0" w:color="423222"/>
        </w:tblBorders>
        <w:shd w:val="clear" w:color="auto" w:fill="FFFFFF"/>
        <w:tblCellMar>
          <w:left w:w="0" w:type="dxa"/>
          <w:right w:w="0" w:type="dxa"/>
        </w:tblCellMar>
        <w:tblLook w:val="04A0"/>
      </w:tblPr>
      <w:tblGrid>
        <w:gridCol w:w="3601"/>
        <w:gridCol w:w="470"/>
        <w:gridCol w:w="545"/>
      </w:tblGrid>
      <w:tr w:rsidR="00B04E96" w:rsidRPr="005A35D3" w:rsidTr="00045BD0">
        <w:tc>
          <w:tcPr>
            <w:tcW w:w="0" w:type="auto"/>
            <w:tcBorders>
              <w:top w:val="nil"/>
              <w:left w:val="nil"/>
              <w:bottom w:val="nil"/>
              <w:right w:val="nil"/>
            </w:tcBorders>
            <w:shd w:val="clear" w:color="auto" w:fill="423222"/>
            <w:vAlign w:val="center"/>
            <w:hideMark/>
          </w:tcPr>
          <w:p w:rsidR="00B04E96" w:rsidRPr="005A35D3" w:rsidRDefault="00B04E96" w:rsidP="005A35D3">
            <w:pPr>
              <w:spacing w:after="0" w:line="276" w:lineRule="auto"/>
              <w:jc w:val="both"/>
              <w:rPr>
                <w:rFonts w:cstheme="minorHAnsi"/>
                <w:color w:val="FFFFFF"/>
              </w:rPr>
            </w:pPr>
            <w:r w:rsidRPr="005A35D3">
              <w:rPr>
                <w:rFonts w:cstheme="minorHAnsi"/>
                <w:color w:val="FFFFFF"/>
              </w:rPr>
              <w:t>Registro Contable - Libro Diario</w:t>
            </w:r>
          </w:p>
        </w:tc>
        <w:tc>
          <w:tcPr>
            <w:tcW w:w="0" w:type="auto"/>
            <w:tcBorders>
              <w:top w:val="nil"/>
              <w:left w:val="nil"/>
              <w:bottom w:val="nil"/>
              <w:right w:val="nil"/>
            </w:tcBorders>
            <w:shd w:val="clear" w:color="auto" w:fill="423222"/>
            <w:vAlign w:val="center"/>
            <w:hideMark/>
          </w:tcPr>
          <w:p w:rsidR="00B04E96" w:rsidRPr="005A35D3" w:rsidRDefault="00B04E96" w:rsidP="005A35D3">
            <w:pPr>
              <w:spacing w:after="0" w:line="276" w:lineRule="auto"/>
              <w:jc w:val="both"/>
              <w:rPr>
                <w:rFonts w:cstheme="minorHAnsi"/>
                <w:color w:val="FFFFFF"/>
              </w:rPr>
            </w:pPr>
            <w:r w:rsidRPr="005A35D3">
              <w:rPr>
                <w:rFonts w:cstheme="minorHAnsi"/>
                <w:color w:val="FFFFFF"/>
              </w:rPr>
              <w:t>Debe</w:t>
            </w:r>
          </w:p>
        </w:tc>
        <w:tc>
          <w:tcPr>
            <w:tcW w:w="0" w:type="auto"/>
            <w:tcBorders>
              <w:top w:val="nil"/>
              <w:left w:val="nil"/>
              <w:bottom w:val="nil"/>
              <w:right w:val="nil"/>
            </w:tcBorders>
            <w:shd w:val="clear" w:color="auto" w:fill="423222"/>
            <w:vAlign w:val="center"/>
            <w:hideMark/>
          </w:tcPr>
          <w:p w:rsidR="00B04E96" w:rsidRPr="005A35D3" w:rsidRDefault="00B04E96" w:rsidP="005A35D3">
            <w:pPr>
              <w:spacing w:after="0" w:line="276" w:lineRule="auto"/>
              <w:jc w:val="both"/>
              <w:rPr>
                <w:rFonts w:cstheme="minorHAnsi"/>
                <w:color w:val="FFFFFF"/>
              </w:rPr>
            </w:pPr>
            <w:r w:rsidRPr="005A35D3">
              <w:rPr>
                <w:rFonts w:cstheme="minorHAnsi"/>
                <w:color w:val="FFFFFF"/>
              </w:rPr>
              <w:t>Haber</w:t>
            </w:r>
          </w:p>
        </w:tc>
      </w:tr>
      <w:tr w:rsidR="00B04E96" w:rsidRPr="005A35D3" w:rsidTr="00045BD0">
        <w:tc>
          <w:tcPr>
            <w:tcW w:w="0" w:type="auto"/>
            <w:tcBorders>
              <w:top w:val="nil"/>
              <w:left w:val="nil"/>
              <w:bottom w:val="nil"/>
              <w:right w:val="nil"/>
            </w:tcBorders>
            <w:shd w:val="clear" w:color="auto" w:fill="FFFFFF"/>
            <w:vAlign w:val="center"/>
            <w:hideMark/>
          </w:tcPr>
          <w:p w:rsidR="00B04E96" w:rsidRPr="005A35D3" w:rsidRDefault="00B04E96" w:rsidP="005A35D3">
            <w:pPr>
              <w:spacing w:after="0" w:line="276" w:lineRule="auto"/>
              <w:jc w:val="both"/>
              <w:rPr>
                <w:rFonts w:cstheme="minorHAnsi"/>
                <w:color w:val="6C6C6C"/>
              </w:rPr>
            </w:pPr>
            <w:r w:rsidRPr="005A35D3">
              <w:rPr>
                <w:rFonts w:cstheme="minorHAnsi"/>
                <w:color w:val="6C6C6C"/>
              </w:rPr>
              <w:t>(477) Hacienda Pública, IVA Repercutido</w:t>
            </w:r>
          </w:p>
        </w:tc>
        <w:tc>
          <w:tcPr>
            <w:tcW w:w="0" w:type="auto"/>
            <w:tcBorders>
              <w:top w:val="nil"/>
              <w:left w:val="nil"/>
              <w:bottom w:val="nil"/>
              <w:right w:val="nil"/>
            </w:tcBorders>
            <w:shd w:val="clear" w:color="auto" w:fill="FFFFFF"/>
            <w:vAlign w:val="center"/>
            <w:hideMark/>
          </w:tcPr>
          <w:p w:rsidR="00B04E96" w:rsidRPr="005A35D3" w:rsidRDefault="00B04E96" w:rsidP="005A35D3">
            <w:pPr>
              <w:spacing w:after="0" w:line="276" w:lineRule="auto"/>
              <w:jc w:val="both"/>
              <w:rPr>
                <w:rFonts w:cstheme="minorHAnsi"/>
                <w:color w:val="6C6C6C"/>
              </w:rPr>
            </w:pPr>
            <w:r w:rsidRPr="005A35D3">
              <w:rPr>
                <w:rFonts w:cstheme="minorHAnsi"/>
                <w:color w:val="6C6C6C"/>
              </w:rPr>
              <w:t>XXX</w:t>
            </w:r>
          </w:p>
        </w:tc>
        <w:tc>
          <w:tcPr>
            <w:tcW w:w="0" w:type="auto"/>
            <w:tcBorders>
              <w:top w:val="nil"/>
              <w:left w:val="nil"/>
              <w:bottom w:val="nil"/>
              <w:right w:val="nil"/>
            </w:tcBorders>
            <w:shd w:val="clear" w:color="auto" w:fill="FFFFFF"/>
            <w:vAlign w:val="center"/>
            <w:hideMark/>
          </w:tcPr>
          <w:p w:rsidR="00B04E96" w:rsidRPr="005A35D3" w:rsidRDefault="00B04E96" w:rsidP="005A35D3">
            <w:pPr>
              <w:spacing w:after="0" w:line="276" w:lineRule="auto"/>
              <w:jc w:val="both"/>
              <w:rPr>
                <w:rFonts w:cstheme="minorHAnsi"/>
                <w:color w:val="6C6C6C"/>
              </w:rPr>
            </w:pPr>
          </w:p>
        </w:tc>
      </w:tr>
      <w:tr w:rsidR="00B04E96" w:rsidRPr="005A35D3" w:rsidTr="00045BD0">
        <w:tc>
          <w:tcPr>
            <w:tcW w:w="0" w:type="auto"/>
            <w:tcBorders>
              <w:top w:val="nil"/>
              <w:left w:val="nil"/>
              <w:bottom w:val="nil"/>
              <w:right w:val="nil"/>
            </w:tcBorders>
            <w:shd w:val="clear" w:color="auto" w:fill="FDF4EB"/>
            <w:vAlign w:val="center"/>
            <w:hideMark/>
          </w:tcPr>
          <w:p w:rsidR="00B04E96" w:rsidRPr="005A35D3" w:rsidRDefault="00B04E96" w:rsidP="005A35D3">
            <w:pPr>
              <w:spacing w:after="0" w:line="276" w:lineRule="auto"/>
              <w:jc w:val="both"/>
              <w:rPr>
                <w:rFonts w:cstheme="minorHAnsi"/>
                <w:color w:val="6C6C6C"/>
              </w:rPr>
            </w:pPr>
            <w:r w:rsidRPr="005A35D3">
              <w:rPr>
                <w:rFonts w:cstheme="minorHAnsi"/>
                <w:color w:val="6C6C6C"/>
              </w:rPr>
              <w:t>a (430) Clientes</w:t>
            </w:r>
          </w:p>
        </w:tc>
        <w:tc>
          <w:tcPr>
            <w:tcW w:w="0" w:type="auto"/>
            <w:tcBorders>
              <w:top w:val="nil"/>
              <w:left w:val="nil"/>
              <w:bottom w:val="nil"/>
              <w:right w:val="nil"/>
            </w:tcBorders>
            <w:shd w:val="clear" w:color="auto" w:fill="FDF4EB"/>
            <w:vAlign w:val="center"/>
            <w:hideMark/>
          </w:tcPr>
          <w:p w:rsidR="00B04E96" w:rsidRPr="005A35D3" w:rsidRDefault="00B04E96" w:rsidP="005A35D3">
            <w:pPr>
              <w:spacing w:after="0" w:line="276" w:lineRule="auto"/>
              <w:jc w:val="both"/>
              <w:rPr>
                <w:rFonts w:cstheme="minorHAnsi"/>
                <w:color w:val="6C6C6C"/>
              </w:rPr>
            </w:pPr>
          </w:p>
        </w:tc>
        <w:tc>
          <w:tcPr>
            <w:tcW w:w="0" w:type="auto"/>
            <w:tcBorders>
              <w:top w:val="nil"/>
              <w:left w:val="nil"/>
              <w:bottom w:val="nil"/>
              <w:right w:val="nil"/>
            </w:tcBorders>
            <w:shd w:val="clear" w:color="auto" w:fill="FDF4EB"/>
            <w:vAlign w:val="center"/>
            <w:hideMark/>
          </w:tcPr>
          <w:p w:rsidR="00B04E96" w:rsidRPr="005A35D3" w:rsidRDefault="00B04E96" w:rsidP="005A35D3">
            <w:pPr>
              <w:spacing w:after="0" w:line="276" w:lineRule="auto"/>
              <w:jc w:val="both"/>
              <w:rPr>
                <w:rFonts w:cstheme="minorHAnsi"/>
                <w:color w:val="6C6C6C"/>
              </w:rPr>
            </w:pPr>
            <w:r w:rsidRPr="005A35D3">
              <w:rPr>
                <w:rFonts w:cstheme="minorHAnsi"/>
                <w:color w:val="6C6C6C"/>
              </w:rPr>
              <w:t>XXX</w:t>
            </w:r>
          </w:p>
        </w:tc>
      </w:tr>
    </w:tbl>
    <w:p w:rsidR="00B04E96" w:rsidRPr="005A35D3" w:rsidRDefault="00B04E96" w:rsidP="005A35D3">
      <w:pPr>
        <w:spacing w:after="0" w:line="276" w:lineRule="auto"/>
        <w:rPr>
          <w:rFonts w:cstheme="minorHAnsi"/>
        </w:rPr>
      </w:pPr>
      <w:r w:rsidRPr="005A35D3">
        <w:rPr>
          <w:rFonts w:cstheme="minorHAnsi"/>
        </w:rPr>
        <w:t>La </w:t>
      </w:r>
      <w:hyperlink r:id="rId6" w:tgtFrame="_self" w:history="1">
        <w:r w:rsidRPr="005A35D3">
          <w:rPr>
            <w:rStyle w:val="Hipervnculo"/>
            <w:rFonts w:cstheme="minorHAnsi"/>
          </w:rPr>
          <w:t>Norma de Registro y Valoración (NRV) 8ª</w:t>
        </w:r>
      </w:hyperlink>
      <w:r w:rsidRPr="005A35D3">
        <w:rPr>
          <w:rFonts w:cstheme="minorHAnsi"/>
        </w:rPr>
        <w:t>, establece al respecto:</w:t>
      </w:r>
    </w:p>
    <w:p w:rsidR="00B04E96" w:rsidRPr="005A35D3" w:rsidRDefault="00B04E96" w:rsidP="005A35D3">
      <w:pPr>
        <w:spacing w:after="0" w:line="276" w:lineRule="auto"/>
        <w:rPr>
          <w:rFonts w:cstheme="minorHAnsi"/>
        </w:rPr>
      </w:pPr>
      <w:r w:rsidRPr="005A35D3">
        <w:rPr>
          <w:rFonts w:cstheme="minorHAnsi"/>
        </w:rPr>
        <w:lastRenderedPageBreak/>
        <w:t>“Al menos al cierre del ejercicio, deberán efectuarse las correcciones valorativas necesarias siempre que exista evidencia objetiva de que el valor de un activo financiero o de un grupo de activos financieros con similares características de riesgo valorados colectivamente, se ha deteriorado como resultado de uno o más eventos que hayan ocurrido después de su reconocimiento inicial y que ocasionen una reducción o retraso en los flujos de efectivo estimados futuros, que pueden venir motivados por la insolvencia del deudor.</w:t>
      </w:r>
    </w:p>
    <w:p w:rsidR="00B04E96" w:rsidRPr="005A35D3" w:rsidRDefault="00B04E96" w:rsidP="005A35D3">
      <w:pPr>
        <w:spacing w:after="0" w:line="276" w:lineRule="auto"/>
        <w:rPr>
          <w:rFonts w:cstheme="minorHAnsi"/>
        </w:rPr>
      </w:pPr>
      <w:r w:rsidRPr="005A35D3">
        <w:rPr>
          <w:rFonts w:cstheme="minorHAnsi"/>
        </w:rPr>
        <w:t>La pérdida por deterioro del valor de estos activos financieros será la diferencia entre su valor en libros y el valor actual de los flujos de efectivo futuros que se estima van a generar, descontados al tipo de interés efectivo calculado en el momento de su reconocimiento inicial.</w:t>
      </w:r>
    </w:p>
    <w:p w:rsidR="00B04E96" w:rsidRPr="005A35D3" w:rsidRDefault="00B04E96" w:rsidP="005A35D3">
      <w:pPr>
        <w:spacing w:after="0" w:line="276" w:lineRule="auto"/>
        <w:rPr>
          <w:rFonts w:cstheme="minorHAnsi"/>
        </w:rPr>
      </w:pPr>
      <w:r w:rsidRPr="005A35D3">
        <w:rPr>
          <w:rFonts w:cstheme="minorHAnsi"/>
        </w:rPr>
        <w:t>(...)</w:t>
      </w:r>
    </w:p>
    <w:p w:rsidR="00B04E96" w:rsidRPr="005A35D3" w:rsidRDefault="00B04E96" w:rsidP="005A35D3">
      <w:pPr>
        <w:spacing w:after="0" w:line="276" w:lineRule="auto"/>
        <w:rPr>
          <w:rFonts w:cstheme="minorHAnsi"/>
        </w:rPr>
      </w:pPr>
      <w:r w:rsidRPr="005A35D3">
        <w:rPr>
          <w:rFonts w:cstheme="minorHAnsi"/>
        </w:rPr>
        <w:t>Las correcciones valorativas por deterioro, así como su reversión cuando el importe de dicha pérdida disminuyese por causas relacionadas con un evento posterior, se reconocerán como un gasto o un ingreso, respectivamente, en la cuenta de pérdidas y ganancias. La reversión del deterioro tendrá como límite el valor en libros del crédito que estaría reconocido en la fecha de reversión si no se hubiese registrado el deterioro del valor”.</w:t>
      </w:r>
    </w:p>
    <w:p w:rsidR="00B04E96" w:rsidRPr="005A35D3" w:rsidRDefault="00B04E96" w:rsidP="005A35D3">
      <w:pPr>
        <w:spacing w:after="0" w:line="276" w:lineRule="auto"/>
        <w:rPr>
          <w:rFonts w:cstheme="minorHAnsi"/>
        </w:rPr>
      </w:pPr>
    </w:p>
    <w:p w:rsidR="00B04E96" w:rsidRPr="005A35D3" w:rsidRDefault="00B04E96" w:rsidP="005A35D3">
      <w:pPr>
        <w:spacing w:after="0" w:line="276" w:lineRule="auto"/>
        <w:rPr>
          <w:rFonts w:cstheme="minorHAnsi"/>
        </w:rPr>
      </w:pPr>
      <w:r w:rsidRPr="005A35D3">
        <w:rPr>
          <w:rFonts w:cstheme="minorHAnsi"/>
        </w:rPr>
        <w:t>Las pérdidas por deterioro de valor de créditos comerciales tienen por obje</w:t>
      </w:r>
      <w:r w:rsidRPr="005A35D3">
        <w:rPr>
          <w:rFonts w:cstheme="minorHAnsi"/>
        </w:rPr>
        <w:softHyphen/>
        <w:t>to cubrir el riesgo de créditos incobrables que tengan su ori</w:t>
      </w:r>
      <w:r w:rsidRPr="005A35D3">
        <w:rPr>
          <w:rFonts w:cstheme="minorHAnsi"/>
        </w:rPr>
        <w:softHyphen/>
        <w:t>gen en operaciones propias de la actividad de la empresa. </w:t>
      </w:r>
    </w:p>
    <w:p w:rsidR="00B04E96" w:rsidRPr="005A35D3" w:rsidRDefault="00B04E96" w:rsidP="005A35D3">
      <w:pPr>
        <w:spacing w:after="0" w:line="276" w:lineRule="auto"/>
        <w:rPr>
          <w:rFonts w:cstheme="minorHAnsi"/>
        </w:rPr>
      </w:pPr>
      <w:r w:rsidRPr="005A35D3">
        <w:rPr>
          <w:rFonts w:cstheme="minorHAnsi"/>
        </w:rPr>
        <w:t>Es el caso de aquellos clientes de la empresa cuyas deudas presenten un gran riesgo de resultar incobrables.</w:t>
      </w:r>
    </w:p>
    <w:p w:rsidR="00B04E96" w:rsidRDefault="00B04E96" w:rsidP="005A35D3">
      <w:pPr>
        <w:spacing w:after="0" w:line="276" w:lineRule="auto"/>
        <w:rPr>
          <w:rFonts w:cstheme="minorHAnsi"/>
        </w:rPr>
      </w:pPr>
      <w:r w:rsidRPr="005A35D3">
        <w:rPr>
          <w:rFonts w:cstheme="minorHAnsi"/>
        </w:rPr>
        <w:t>El Plan General Contable establece a través de la </w:t>
      </w:r>
      <w:hyperlink r:id="rId7" w:history="1">
        <w:r w:rsidRPr="005A35D3">
          <w:rPr>
            <w:rStyle w:val="Hipervnculo"/>
            <w:rFonts w:cstheme="minorHAnsi"/>
          </w:rPr>
          <w:t>norma de valoración 12</w:t>
        </w:r>
      </w:hyperlink>
      <w:r w:rsidRPr="005A35D3">
        <w:rPr>
          <w:rFonts w:cstheme="minorHAnsi"/>
        </w:rPr>
        <w:t>, referente a clientes, proveedores, deudores y acreedores por operaciones de tráfico, el deber de las empresas de dotar las provisiones que correspondan cuando exista ries</w:t>
      </w:r>
      <w:r w:rsidRPr="005A35D3">
        <w:rPr>
          <w:rFonts w:cstheme="minorHAnsi"/>
        </w:rPr>
        <w:softHyphen/>
        <w:t>go de insolvencias en los cobros pendientes.</w:t>
      </w:r>
    </w:p>
    <w:p w:rsidR="005A35D3" w:rsidRPr="005A35D3" w:rsidRDefault="005A35D3" w:rsidP="005A35D3">
      <w:pPr>
        <w:spacing w:after="0" w:line="276" w:lineRule="auto"/>
        <w:rPr>
          <w:rFonts w:cstheme="minorHAnsi"/>
        </w:rPr>
      </w:pPr>
    </w:p>
    <w:p w:rsidR="00B04E96" w:rsidRPr="005A35D3" w:rsidRDefault="005A35D3" w:rsidP="005A35D3">
      <w:pPr>
        <w:spacing w:after="0" w:line="276" w:lineRule="auto"/>
        <w:rPr>
          <w:rFonts w:cstheme="minorHAnsi"/>
          <w:b/>
        </w:rPr>
      </w:pPr>
      <w:r w:rsidRPr="005A35D3">
        <w:rPr>
          <w:rFonts w:cstheme="minorHAnsi"/>
          <w:b/>
        </w:rPr>
        <w:t>EJEMPLO ESTIMACIÓN INDIVIDUALIZADA DEL DETERIORO DE LOS CRÉDITOS COMERCIALES:</w:t>
      </w:r>
    </w:p>
    <w:p w:rsidR="00B04E96" w:rsidRPr="005A35D3" w:rsidRDefault="00B04E96" w:rsidP="005A35D3">
      <w:pPr>
        <w:spacing w:after="0" w:line="276" w:lineRule="auto"/>
        <w:rPr>
          <w:rFonts w:cstheme="minorHAnsi"/>
        </w:rPr>
      </w:pPr>
      <w:r w:rsidRPr="005A35D3">
        <w:rPr>
          <w:rFonts w:cstheme="minorHAnsi"/>
        </w:rPr>
        <w:t>Un cliente que debe 500 euros es declarado en suspensión de pagos.</w:t>
      </w:r>
    </w:p>
    <w:tbl>
      <w:tblPr>
        <w:tblStyle w:val="Tablaconcuadrcula"/>
        <w:tblW w:w="0" w:type="auto"/>
        <w:tblLook w:val="04A0"/>
      </w:tblPr>
      <w:tblGrid>
        <w:gridCol w:w="1242"/>
        <w:gridCol w:w="993"/>
        <w:gridCol w:w="3969"/>
        <w:gridCol w:w="1275"/>
        <w:gridCol w:w="1165"/>
      </w:tblGrid>
      <w:tr w:rsidR="00B04E96" w:rsidRPr="005A35D3" w:rsidTr="00045BD0">
        <w:tc>
          <w:tcPr>
            <w:tcW w:w="1242" w:type="dxa"/>
          </w:tcPr>
          <w:p w:rsidR="00B04E96" w:rsidRPr="005A35D3" w:rsidRDefault="00B04E96" w:rsidP="005A35D3">
            <w:pPr>
              <w:spacing w:line="276" w:lineRule="auto"/>
              <w:rPr>
                <w:rFonts w:cstheme="minorHAnsi"/>
              </w:rPr>
            </w:pPr>
            <w:r w:rsidRPr="005A35D3">
              <w:rPr>
                <w:rFonts w:cstheme="minorHAnsi"/>
              </w:rPr>
              <w:t>500 €</w:t>
            </w:r>
          </w:p>
          <w:p w:rsidR="00B04E96" w:rsidRPr="005A35D3" w:rsidRDefault="00B04E96" w:rsidP="005A35D3">
            <w:pPr>
              <w:spacing w:line="276" w:lineRule="auto"/>
              <w:rPr>
                <w:rFonts w:cstheme="minorHAnsi"/>
              </w:rPr>
            </w:pPr>
          </w:p>
          <w:p w:rsidR="00B04E96" w:rsidRPr="005A35D3" w:rsidRDefault="00B04E96" w:rsidP="005A35D3">
            <w:pPr>
              <w:spacing w:line="276" w:lineRule="auto"/>
              <w:rPr>
                <w:rFonts w:cstheme="minorHAnsi"/>
              </w:rPr>
            </w:pPr>
            <w:r w:rsidRPr="005A35D3">
              <w:rPr>
                <w:rFonts w:cstheme="minorHAnsi"/>
              </w:rPr>
              <w:t>500 €</w:t>
            </w:r>
          </w:p>
        </w:tc>
        <w:tc>
          <w:tcPr>
            <w:tcW w:w="993" w:type="dxa"/>
          </w:tcPr>
          <w:p w:rsidR="00B04E96" w:rsidRPr="005A35D3" w:rsidRDefault="00B04E96" w:rsidP="005A35D3">
            <w:pPr>
              <w:spacing w:line="276" w:lineRule="auto"/>
              <w:rPr>
                <w:rFonts w:cstheme="minorHAnsi"/>
              </w:rPr>
            </w:pPr>
            <w:r w:rsidRPr="005A35D3">
              <w:rPr>
                <w:rFonts w:cstheme="minorHAnsi"/>
              </w:rPr>
              <w:t>436</w:t>
            </w:r>
          </w:p>
          <w:p w:rsidR="00B04E96" w:rsidRPr="005A35D3" w:rsidRDefault="00B04E96" w:rsidP="005A35D3">
            <w:pPr>
              <w:spacing w:line="276" w:lineRule="auto"/>
              <w:rPr>
                <w:rFonts w:cstheme="minorHAnsi"/>
              </w:rPr>
            </w:pPr>
          </w:p>
          <w:p w:rsidR="00B04E96" w:rsidRPr="005A35D3" w:rsidRDefault="00B04E96" w:rsidP="005A35D3">
            <w:pPr>
              <w:spacing w:line="276" w:lineRule="auto"/>
              <w:rPr>
                <w:rFonts w:cstheme="minorHAnsi"/>
              </w:rPr>
            </w:pPr>
            <w:r w:rsidRPr="005A35D3">
              <w:rPr>
                <w:rFonts w:cstheme="minorHAnsi"/>
              </w:rPr>
              <w:t>694</w:t>
            </w:r>
          </w:p>
        </w:tc>
        <w:tc>
          <w:tcPr>
            <w:tcW w:w="3969" w:type="dxa"/>
          </w:tcPr>
          <w:p w:rsidR="00B04E96" w:rsidRPr="005A35D3" w:rsidRDefault="00B04E96" w:rsidP="005A35D3">
            <w:pPr>
              <w:spacing w:line="276" w:lineRule="auto"/>
              <w:rPr>
                <w:rFonts w:cstheme="minorHAnsi"/>
              </w:rPr>
            </w:pPr>
          </w:p>
        </w:tc>
        <w:tc>
          <w:tcPr>
            <w:tcW w:w="1275" w:type="dxa"/>
          </w:tcPr>
          <w:p w:rsidR="00B04E96" w:rsidRPr="005A35D3" w:rsidRDefault="00B04E96" w:rsidP="005A35D3">
            <w:pPr>
              <w:spacing w:line="276" w:lineRule="auto"/>
              <w:rPr>
                <w:rFonts w:cstheme="minorHAnsi"/>
              </w:rPr>
            </w:pPr>
            <w:r w:rsidRPr="005A35D3">
              <w:rPr>
                <w:rFonts w:cstheme="minorHAnsi"/>
              </w:rPr>
              <w:t>430</w:t>
            </w:r>
          </w:p>
          <w:p w:rsidR="00B04E96" w:rsidRPr="005A35D3" w:rsidRDefault="00B04E96" w:rsidP="005A35D3">
            <w:pPr>
              <w:spacing w:line="276" w:lineRule="auto"/>
              <w:rPr>
                <w:rFonts w:cstheme="minorHAnsi"/>
              </w:rPr>
            </w:pPr>
          </w:p>
          <w:p w:rsidR="00B04E96" w:rsidRPr="005A35D3" w:rsidRDefault="00B04E96" w:rsidP="005A35D3">
            <w:pPr>
              <w:spacing w:line="276" w:lineRule="auto"/>
              <w:rPr>
                <w:rFonts w:cstheme="minorHAnsi"/>
              </w:rPr>
            </w:pPr>
            <w:r w:rsidRPr="005A35D3">
              <w:rPr>
                <w:rFonts w:cstheme="minorHAnsi"/>
              </w:rPr>
              <w:t>490</w:t>
            </w:r>
          </w:p>
        </w:tc>
        <w:tc>
          <w:tcPr>
            <w:tcW w:w="1165" w:type="dxa"/>
          </w:tcPr>
          <w:p w:rsidR="00B04E96" w:rsidRPr="005A35D3" w:rsidRDefault="00B04E96" w:rsidP="005A35D3">
            <w:pPr>
              <w:spacing w:line="276" w:lineRule="auto"/>
              <w:rPr>
                <w:rFonts w:cstheme="minorHAnsi"/>
              </w:rPr>
            </w:pPr>
            <w:r w:rsidRPr="005A35D3">
              <w:rPr>
                <w:rFonts w:cstheme="minorHAnsi"/>
              </w:rPr>
              <w:t>500 €</w:t>
            </w:r>
          </w:p>
          <w:p w:rsidR="00B04E96" w:rsidRPr="005A35D3" w:rsidRDefault="00B04E96" w:rsidP="005A35D3">
            <w:pPr>
              <w:spacing w:line="276" w:lineRule="auto"/>
              <w:rPr>
                <w:rFonts w:cstheme="minorHAnsi"/>
              </w:rPr>
            </w:pPr>
          </w:p>
          <w:p w:rsidR="00B04E96" w:rsidRPr="005A35D3" w:rsidRDefault="00B04E96" w:rsidP="005A35D3">
            <w:pPr>
              <w:spacing w:line="276" w:lineRule="auto"/>
              <w:rPr>
                <w:rFonts w:cstheme="minorHAnsi"/>
              </w:rPr>
            </w:pPr>
            <w:r w:rsidRPr="005A35D3">
              <w:rPr>
                <w:rFonts w:cstheme="minorHAnsi"/>
              </w:rPr>
              <w:t>500 €</w:t>
            </w:r>
          </w:p>
        </w:tc>
      </w:tr>
    </w:tbl>
    <w:p w:rsidR="00B04E96" w:rsidRPr="005A35D3" w:rsidRDefault="00B04E96" w:rsidP="005A35D3">
      <w:pPr>
        <w:spacing w:after="0" w:line="276" w:lineRule="auto"/>
        <w:rPr>
          <w:rFonts w:cstheme="minorHAnsi"/>
        </w:rPr>
      </w:pPr>
      <w:r w:rsidRPr="005A35D3">
        <w:rPr>
          <w:rFonts w:cstheme="minorHAnsi"/>
        </w:rPr>
        <w:t>Posteriormente:</w:t>
      </w:r>
    </w:p>
    <w:p w:rsidR="00B04E96" w:rsidRPr="005A35D3" w:rsidRDefault="00B04E96" w:rsidP="005A35D3">
      <w:pPr>
        <w:spacing w:after="0" w:line="276" w:lineRule="auto"/>
        <w:rPr>
          <w:rFonts w:cstheme="minorHAnsi"/>
        </w:rPr>
      </w:pPr>
      <w:r w:rsidRPr="005A35D3">
        <w:rPr>
          <w:rFonts w:cstheme="minorHAnsi"/>
        </w:rPr>
        <w:t>a.- Consigue cobrar la totalidad del crédito:</w:t>
      </w:r>
    </w:p>
    <w:tbl>
      <w:tblPr>
        <w:tblStyle w:val="Tablaconcuadrcula"/>
        <w:tblW w:w="0" w:type="auto"/>
        <w:tblLook w:val="04A0"/>
      </w:tblPr>
      <w:tblGrid>
        <w:gridCol w:w="1242"/>
        <w:gridCol w:w="993"/>
        <w:gridCol w:w="3969"/>
        <w:gridCol w:w="1275"/>
        <w:gridCol w:w="1165"/>
      </w:tblGrid>
      <w:tr w:rsidR="00B04E96" w:rsidRPr="005A35D3" w:rsidTr="00045BD0">
        <w:tc>
          <w:tcPr>
            <w:tcW w:w="1242" w:type="dxa"/>
          </w:tcPr>
          <w:p w:rsidR="00B04E96" w:rsidRPr="005A35D3" w:rsidRDefault="00B04E96" w:rsidP="005A35D3">
            <w:pPr>
              <w:spacing w:line="276" w:lineRule="auto"/>
              <w:rPr>
                <w:rFonts w:cstheme="minorHAnsi"/>
              </w:rPr>
            </w:pPr>
            <w:r w:rsidRPr="005A35D3">
              <w:rPr>
                <w:rFonts w:cstheme="minorHAnsi"/>
              </w:rPr>
              <w:t>500 €</w:t>
            </w:r>
          </w:p>
          <w:p w:rsidR="00B04E96" w:rsidRPr="005A35D3" w:rsidRDefault="00B04E96" w:rsidP="005A35D3">
            <w:pPr>
              <w:spacing w:line="276" w:lineRule="auto"/>
              <w:rPr>
                <w:rFonts w:cstheme="minorHAnsi"/>
              </w:rPr>
            </w:pPr>
          </w:p>
          <w:p w:rsidR="00B04E96" w:rsidRPr="005A35D3" w:rsidRDefault="00B04E96" w:rsidP="005A35D3">
            <w:pPr>
              <w:spacing w:line="276" w:lineRule="auto"/>
              <w:rPr>
                <w:rFonts w:cstheme="minorHAnsi"/>
              </w:rPr>
            </w:pPr>
            <w:r w:rsidRPr="005A35D3">
              <w:rPr>
                <w:rFonts w:cstheme="minorHAnsi"/>
              </w:rPr>
              <w:t>500 €</w:t>
            </w:r>
          </w:p>
        </w:tc>
        <w:tc>
          <w:tcPr>
            <w:tcW w:w="993" w:type="dxa"/>
          </w:tcPr>
          <w:p w:rsidR="00B04E96" w:rsidRPr="005A35D3" w:rsidRDefault="00B04E96" w:rsidP="005A35D3">
            <w:pPr>
              <w:spacing w:line="276" w:lineRule="auto"/>
              <w:rPr>
                <w:rFonts w:cstheme="minorHAnsi"/>
              </w:rPr>
            </w:pPr>
            <w:r w:rsidRPr="005A35D3">
              <w:rPr>
                <w:rFonts w:cstheme="minorHAnsi"/>
              </w:rPr>
              <w:t>572</w:t>
            </w:r>
          </w:p>
          <w:p w:rsidR="00B04E96" w:rsidRPr="005A35D3" w:rsidRDefault="00B04E96" w:rsidP="005A35D3">
            <w:pPr>
              <w:spacing w:line="276" w:lineRule="auto"/>
              <w:rPr>
                <w:rFonts w:cstheme="minorHAnsi"/>
              </w:rPr>
            </w:pPr>
          </w:p>
          <w:p w:rsidR="00B04E96" w:rsidRPr="005A35D3" w:rsidRDefault="00B04E96" w:rsidP="005A35D3">
            <w:pPr>
              <w:spacing w:line="276" w:lineRule="auto"/>
              <w:rPr>
                <w:rFonts w:cstheme="minorHAnsi"/>
              </w:rPr>
            </w:pPr>
            <w:r w:rsidRPr="005A35D3">
              <w:rPr>
                <w:rFonts w:cstheme="minorHAnsi"/>
              </w:rPr>
              <w:t>490</w:t>
            </w:r>
          </w:p>
        </w:tc>
        <w:tc>
          <w:tcPr>
            <w:tcW w:w="3969" w:type="dxa"/>
          </w:tcPr>
          <w:p w:rsidR="00B04E96" w:rsidRPr="005A35D3" w:rsidRDefault="00B04E96" w:rsidP="005A35D3">
            <w:pPr>
              <w:spacing w:line="276" w:lineRule="auto"/>
              <w:rPr>
                <w:rFonts w:cstheme="minorHAnsi"/>
              </w:rPr>
            </w:pPr>
          </w:p>
        </w:tc>
        <w:tc>
          <w:tcPr>
            <w:tcW w:w="1275" w:type="dxa"/>
          </w:tcPr>
          <w:p w:rsidR="00B04E96" w:rsidRPr="005A35D3" w:rsidRDefault="00B04E96" w:rsidP="005A35D3">
            <w:pPr>
              <w:spacing w:line="276" w:lineRule="auto"/>
              <w:rPr>
                <w:rFonts w:cstheme="minorHAnsi"/>
              </w:rPr>
            </w:pPr>
            <w:r w:rsidRPr="005A35D3">
              <w:rPr>
                <w:rFonts w:cstheme="minorHAnsi"/>
              </w:rPr>
              <w:t>436</w:t>
            </w:r>
          </w:p>
          <w:p w:rsidR="00B04E96" w:rsidRPr="005A35D3" w:rsidRDefault="00B04E96" w:rsidP="005A35D3">
            <w:pPr>
              <w:spacing w:line="276" w:lineRule="auto"/>
              <w:rPr>
                <w:rFonts w:cstheme="minorHAnsi"/>
              </w:rPr>
            </w:pPr>
          </w:p>
          <w:p w:rsidR="00B04E96" w:rsidRPr="005A35D3" w:rsidRDefault="00B04E96" w:rsidP="005A35D3">
            <w:pPr>
              <w:spacing w:line="276" w:lineRule="auto"/>
              <w:rPr>
                <w:rFonts w:cstheme="minorHAnsi"/>
              </w:rPr>
            </w:pPr>
            <w:r w:rsidRPr="005A35D3">
              <w:rPr>
                <w:rFonts w:cstheme="minorHAnsi"/>
              </w:rPr>
              <w:t>794</w:t>
            </w:r>
          </w:p>
        </w:tc>
        <w:tc>
          <w:tcPr>
            <w:tcW w:w="1165" w:type="dxa"/>
          </w:tcPr>
          <w:p w:rsidR="00B04E96" w:rsidRPr="005A35D3" w:rsidRDefault="00B04E96" w:rsidP="005A35D3">
            <w:pPr>
              <w:spacing w:line="276" w:lineRule="auto"/>
              <w:rPr>
                <w:rFonts w:cstheme="minorHAnsi"/>
              </w:rPr>
            </w:pPr>
            <w:r w:rsidRPr="005A35D3">
              <w:rPr>
                <w:rFonts w:cstheme="minorHAnsi"/>
              </w:rPr>
              <w:t>500 €</w:t>
            </w:r>
          </w:p>
          <w:p w:rsidR="00B04E96" w:rsidRPr="005A35D3" w:rsidRDefault="00B04E96" w:rsidP="005A35D3">
            <w:pPr>
              <w:spacing w:line="276" w:lineRule="auto"/>
              <w:rPr>
                <w:rFonts w:cstheme="minorHAnsi"/>
              </w:rPr>
            </w:pPr>
          </w:p>
          <w:p w:rsidR="00B04E96" w:rsidRPr="005A35D3" w:rsidRDefault="00B04E96" w:rsidP="005A35D3">
            <w:pPr>
              <w:spacing w:line="276" w:lineRule="auto"/>
              <w:rPr>
                <w:rFonts w:cstheme="minorHAnsi"/>
              </w:rPr>
            </w:pPr>
            <w:r w:rsidRPr="005A35D3">
              <w:rPr>
                <w:rFonts w:cstheme="minorHAnsi"/>
              </w:rPr>
              <w:t>500 €</w:t>
            </w:r>
          </w:p>
        </w:tc>
      </w:tr>
    </w:tbl>
    <w:p w:rsidR="00B04E96" w:rsidRPr="005A35D3" w:rsidRDefault="00B04E96" w:rsidP="005A35D3">
      <w:pPr>
        <w:spacing w:after="0" w:line="276" w:lineRule="auto"/>
        <w:rPr>
          <w:rFonts w:cstheme="minorHAnsi"/>
        </w:rPr>
      </w:pPr>
      <w:r w:rsidRPr="005A35D3">
        <w:rPr>
          <w:rFonts w:cstheme="minorHAnsi"/>
        </w:rPr>
        <w:t>B.- Da por perdido la totalidad del crédito:</w:t>
      </w:r>
    </w:p>
    <w:tbl>
      <w:tblPr>
        <w:tblStyle w:val="Tablaconcuadrcula"/>
        <w:tblW w:w="0" w:type="auto"/>
        <w:tblLook w:val="04A0"/>
      </w:tblPr>
      <w:tblGrid>
        <w:gridCol w:w="1242"/>
        <w:gridCol w:w="993"/>
        <w:gridCol w:w="3969"/>
        <w:gridCol w:w="1275"/>
        <w:gridCol w:w="1165"/>
      </w:tblGrid>
      <w:tr w:rsidR="00B04E96" w:rsidRPr="005A35D3" w:rsidTr="00045BD0">
        <w:tc>
          <w:tcPr>
            <w:tcW w:w="1242" w:type="dxa"/>
          </w:tcPr>
          <w:p w:rsidR="00B04E96" w:rsidRPr="005A35D3" w:rsidRDefault="00B04E96" w:rsidP="005A35D3">
            <w:pPr>
              <w:spacing w:line="276" w:lineRule="auto"/>
              <w:rPr>
                <w:rFonts w:cstheme="minorHAnsi"/>
              </w:rPr>
            </w:pPr>
            <w:r w:rsidRPr="005A35D3">
              <w:rPr>
                <w:rFonts w:cstheme="minorHAnsi"/>
              </w:rPr>
              <w:t>500 €</w:t>
            </w:r>
          </w:p>
          <w:p w:rsidR="00B04E96" w:rsidRPr="005A35D3" w:rsidRDefault="00B04E96" w:rsidP="005A35D3">
            <w:pPr>
              <w:spacing w:line="276" w:lineRule="auto"/>
              <w:rPr>
                <w:rFonts w:cstheme="minorHAnsi"/>
              </w:rPr>
            </w:pPr>
          </w:p>
          <w:p w:rsidR="00B04E96" w:rsidRPr="005A35D3" w:rsidRDefault="00B04E96" w:rsidP="005A35D3">
            <w:pPr>
              <w:spacing w:line="276" w:lineRule="auto"/>
              <w:rPr>
                <w:rFonts w:cstheme="minorHAnsi"/>
              </w:rPr>
            </w:pPr>
            <w:r w:rsidRPr="005A35D3">
              <w:rPr>
                <w:rFonts w:cstheme="minorHAnsi"/>
              </w:rPr>
              <w:t>500 €</w:t>
            </w:r>
          </w:p>
        </w:tc>
        <w:tc>
          <w:tcPr>
            <w:tcW w:w="993" w:type="dxa"/>
          </w:tcPr>
          <w:p w:rsidR="00B04E96" w:rsidRPr="005A35D3" w:rsidRDefault="00B04E96" w:rsidP="005A35D3">
            <w:pPr>
              <w:spacing w:line="276" w:lineRule="auto"/>
              <w:rPr>
                <w:rFonts w:cstheme="minorHAnsi"/>
              </w:rPr>
            </w:pPr>
            <w:r w:rsidRPr="005A35D3">
              <w:rPr>
                <w:rFonts w:cstheme="minorHAnsi"/>
              </w:rPr>
              <w:t>650</w:t>
            </w:r>
          </w:p>
          <w:p w:rsidR="00B04E96" w:rsidRPr="005A35D3" w:rsidRDefault="00B04E96" w:rsidP="005A35D3">
            <w:pPr>
              <w:spacing w:line="276" w:lineRule="auto"/>
              <w:rPr>
                <w:rFonts w:cstheme="minorHAnsi"/>
              </w:rPr>
            </w:pPr>
          </w:p>
          <w:p w:rsidR="00B04E96" w:rsidRPr="005A35D3" w:rsidRDefault="00B04E96" w:rsidP="005A35D3">
            <w:pPr>
              <w:spacing w:line="276" w:lineRule="auto"/>
              <w:rPr>
                <w:rFonts w:cstheme="minorHAnsi"/>
              </w:rPr>
            </w:pPr>
            <w:r w:rsidRPr="005A35D3">
              <w:rPr>
                <w:rFonts w:cstheme="minorHAnsi"/>
              </w:rPr>
              <w:t>490</w:t>
            </w:r>
          </w:p>
        </w:tc>
        <w:tc>
          <w:tcPr>
            <w:tcW w:w="3969" w:type="dxa"/>
          </w:tcPr>
          <w:p w:rsidR="00B04E96" w:rsidRPr="005A35D3" w:rsidRDefault="00B04E96" w:rsidP="005A35D3">
            <w:pPr>
              <w:spacing w:line="276" w:lineRule="auto"/>
              <w:rPr>
                <w:rFonts w:cstheme="minorHAnsi"/>
              </w:rPr>
            </w:pPr>
          </w:p>
        </w:tc>
        <w:tc>
          <w:tcPr>
            <w:tcW w:w="1275" w:type="dxa"/>
          </w:tcPr>
          <w:p w:rsidR="00B04E96" w:rsidRPr="005A35D3" w:rsidRDefault="00B04E96" w:rsidP="005A35D3">
            <w:pPr>
              <w:spacing w:line="276" w:lineRule="auto"/>
              <w:rPr>
                <w:rFonts w:cstheme="minorHAnsi"/>
              </w:rPr>
            </w:pPr>
            <w:r w:rsidRPr="005A35D3">
              <w:rPr>
                <w:rFonts w:cstheme="minorHAnsi"/>
              </w:rPr>
              <w:t>436</w:t>
            </w:r>
          </w:p>
          <w:p w:rsidR="00B04E96" w:rsidRPr="005A35D3" w:rsidRDefault="00B04E96" w:rsidP="005A35D3">
            <w:pPr>
              <w:spacing w:line="276" w:lineRule="auto"/>
              <w:rPr>
                <w:rFonts w:cstheme="minorHAnsi"/>
              </w:rPr>
            </w:pPr>
          </w:p>
          <w:p w:rsidR="00B04E96" w:rsidRPr="005A35D3" w:rsidRDefault="00B04E96" w:rsidP="005A35D3">
            <w:pPr>
              <w:spacing w:line="276" w:lineRule="auto"/>
              <w:rPr>
                <w:rFonts w:cstheme="minorHAnsi"/>
              </w:rPr>
            </w:pPr>
            <w:r w:rsidRPr="005A35D3">
              <w:rPr>
                <w:rFonts w:cstheme="minorHAnsi"/>
              </w:rPr>
              <w:t>794</w:t>
            </w:r>
          </w:p>
        </w:tc>
        <w:tc>
          <w:tcPr>
            <w:tcW w:w="1165" w:type="dxa"/>
          </w:tcPr>
          <w:p w:rsidR="00B04E96" w:rsidRPr="005A35D3" w:rsidRDefault="00B04E96" w:rsidP="005A35D3">
            <w:pPr>
              <w:spacing w:line="276" w:lineRule="auto"/>
              <w:rPr>
                <w:rFonts w:cstheme="minorHAnsi"/>
              </w:rPr>
            </w:pPr>
            <w:r w:rsidRPr="005A35D3">
              <w:rPr>
                <w:rFonts w:cstheme="minorHAnsi"/>
              </w:rPr>
              <w:t>500 €</w:t>
            </w:r>
          </w:p>
          <w:p w:rsidR="00B04E96" w:rsidRPr="005A35D3" w:rsidRDefault="00B04E96" w:rsidP="005A35D3">
            <w:pPr>
              <w:spacing w:line="276" w:lineRule="auto"/>
              <w:rPr>
                <w:rFonts w:cstheme="minorHAnsi"/>
              </w:rPr>
            </w:pPr>
          </w:p>
          <w:p w:rsidR="00B04E96" w:rsidRPr="005A35D3" w:rsidRDefault="00B04E96" w:rsidP="005A35D3">
            <w:pPr>
              <w:spacing w:line="276" w:lineRule="auto"/>
              <w:rPr>
                <w:rFonts w:cstheme="minorHAnsi"/>
              </w:rPr>
            </w:pPr>
            <w:r w:rsidRPr="005A35D3">
              <w:rPr>
                <w:rFonts w:cstheme="minorHAnsi"/>
              </w:rPr>
              <w:t>500 €</w:t>
            </w:r>
          </w:p>
        </w:tc>
      </w:tr>
    </w:tbl>
    <w:p w:rsidR="00B04E96" w:rsidRPr="005A35D3" w:rsidRDefault="00B04E96" w:rsidP="005A35D3">
      <w:pPr>
        <w:spacing w:after="0" w:line="276" w:lineRule="auto"/>
        <w:rPr>
          <w:rFonts w:cstheme="minorHAnsi"/>
        </w:rPr>
      </w:pPr>
      <w:r w:rsidRPr="005A35D3">
        <w:rPr>
          <w:rFonts w:cstheme="minorHAnsi"/>
        </w:rPr>
        <w:t>c.- Consigue cobrar 100 euros y da por perdido el resto:</w:t>
      </w:r>
    </w:p>
    <w:tbl>
      <w:tblPr>
        <w:tblStyle w:val="Tablaconcuadrcula"/>
        <w:tblW w:w="0" w:type="auto"/>
        <w:tblLook w:val="04A0"/>
      </w:tblPr>
      <w:tblGrid>
        <w:gridCol w:w="1242"/>
        <w:gridCol w:w="993"/>
        <w:gridCol w:w="3969"/>
        <w:gridCol w:w="1275"/>
        <w:gridCol w:w="1165"/>
      </w:tblGrid>
      <w:tr w:rsidR="00B04E96" w:rsidRPr="005A35D3" w:rsidTr="00045BD0">
        <w:tc>
          <w:tcPr>
            <w:tcW w:w="1242" w:type="dxa"/>
          </w:tcPr>
          <w:p w:rsidR="00B04E96" w:rsidRPr="005A35D3" w:rsidRDefault="00B04E96" w:rsidP="005A35D3">
            <w:pPr>
              <w:spacing w:line="276" w:lineRule="auto"/>
              <w:rPr>
                <w:rFonts w:cstheme="minorHAnsi"/>
              </w:rPr>
            </w:pPr>
            <w:r w:rsidRPr="005A35D3">
              <w:rPr>
                <w:rFonts w:cstheme="minorHAnsi"/>
              </w:rPr>
              <w:t>100 €</w:t>
            </w:r>
          </w:p>
          <w:p w:rsidR="00B04E96" w:rsidRPr="005A35D3" w:rsidRDefault="00B04E96" w:rsidP="005A35D3">
            <w:pPr>
              <w:spacing w:line="276" w:lineRule="auto"/>
              <w:rPr>
                <w:rFonts w:cstheme="minorHAnsi"/>
              </w:rPr>
            </w:pPr>
            <w:r w:rsidRPr="005A35D3">
              <w:rPr>
                <w:rFonts w:cstheme="minorHAnsi"/>
              </w:rPr>
              <w:t>400 €</w:t>
            </w:r>
          </w:p>
          <w:p w:rsidR="00B04E96" w:rsidRPr="005A35D3" w:rsidRDefault="00B04E96" w:rsidP="005A35D3">
            <w:pPr>
              <w:spacing w:line="276" w:lineRule="auto"/>
              <w:rPr>
                <w:rFonts w:cstheme="minorHAnsi"/>
              </w:rPr>
            </w:pPr>
          </w:p>
          <w:p w:rsidR="00B04E96" w:rsidRPr="005A35D3" w:rsidRDefault="00B04E96" w:rsidP="005A35D3">
            <w:pPr>
              <w:spacing w:line="276" w:lineRule="auto"/>
              <w:rPr>
                <w:rFonts w:cstheme="minorHAnsi"/>
              </w:rPr>
            </w:pPr>
            <w:r w:rsidRPr="005A35D3">
              <w:rPr>
                <w:rFonts w:cstheme="minorHAnsi"/>
              </w:rPr>
              <w:t>500 €</w:t>
            </w:r>
          </w:p>
        </w:tc>
        <w:tc>
          <w:tcPr>
            <w:tcW w:w="993" w:type="dxa"/>
          </w:tcPr>
          <w:p w:rsidR="00B04E96" w:rsidRPr="005A35D3" w:rsidRDefault="00B04E96" w:rsidP="005A35D3">
            <w:pPr>
              <w:spacing w:line="276" w:lineRule="auto"/>
              <w:rPr>
                <w:rFonts w:cstheme="minorHAnsi"/>
              </w:rPr>
            </w:pPr>
            <w:r w:rsidRPr="005A35D3">
              <w:rPr>
                <w:rFonts w:cstheme="minorHAnsi"/>
              </w:rPr>
              <w:t>572</w:t>
            </w:r>
          </w:p>
          <w:p w:rsidR="00B04E96" w:rsidRPr="005A35D3" w:rsidRDefault="00B04E96" w:rsidP="005A35D3">
            <w:pPr>
              <w:spacing w:line="276" w:lineRule="auto"/>
              <w:rPr>
                <w:rFonts w:cstheme="minorHAnsi"/>
              </w:rPr>
            </w:pPr>
            <w:r w:rsidRPr="005A35D3">
              <w:rPr>
                <w:rFonts w:cstheme="minorHAnsi"/>
              </w:rPr>
              <w:t>650</w:t>
            </w:r>
          </w:p>
          <w:p w:rsidR="00B04E96" w:rsidRPr="005A35D3" w:rsidRDefault="00B04E96" w:rsidP="005A35D3">
            <w:pPr>
              <w:spacing w:line="276" w:lineRule="auto"/>
              <w:rPr>
                <w:rFonts w:cstheme="minorHAnsi"/>
              </w:rPr>
            </w:pPr>
          </w:p>
          <w:p w:rsidR="00B04E96" w:rsidRPr="005A35D3" w:rsidRDefault="00B04E96" w:rsidP="005A35D3">
            <w:pPr>
              <w:spacing w:line="276" w:lineRule="auto"/>
              <w:rPr>
                <w:rFonts w:cstheme="minorHAnsi"/>
              </w:rPr>
            </w:pPr>
            <w:r w:rsidRPr="005A35D3">
              <w:rPr>
                <w:rFonts w:cstheme="minorHAnsi"/>
              </w:rPr>
              <w:t>490</w:t>
            </w:r>
          </w:p>
        </w:tc>
        <w:tc>
          <w:tcPr>
            <w:tcW w:w="3969" w:type="dxa"/>
          </w:tcPr>
          <w:p w:rsidR="00B04E96" w:rsidRPr="005A35D3" w:rsidRDefault="00B04E96" w:rsidP="005A35D3">
            <w:pPr>
              <w:spacing w:line="276" w:lineRule="auto"/>
              <w:rPr>
                <w:rFonts w:cstheme="minorHAnsi"/>
              </w:rPr>
            </w:pPr>
          </w:p>
        </w:tc>
        <w:tc>
          <w:tcPr>
            <w:tcW w:w="1275" w:type="dxa"/>
          </w:tcPr>
          <w:p w:rsidR="00B04E96" w:rsidRPr="005A35D3" w:rsidRDefault="00B04E96" w:rsidP="005A35D3">
            <w:pPr>
              <w:spacing w:line="276" w:lineRule="auto"/>
              <w:rPr>
                <w:rFonts w:cstheme="minorHAnsi"/>
              </w:rPr>
            </w:pPr>
            <w:r w:rsidRPr="005A35D3">
              <w:rPr>
                <w:rFonts w:cstheme="minorHAnsi"/>
              </w:rPr>
              <w:t>436</w:t>
            </w:r>
          </w:p>
          <w:p w:rsidR="00B04E96" w:rsidRPr="005A35D3" w:rsidRDefault="00B04E96" w:rsidP="005A35D3">
            <w:pPr>
              <w:spacing w:line="276" w:lineRule="auto"/>
              <w:rPr>
                <w:rFonts w:cstheme="minorHAnsi"/>
              </w:rPr>
            </w:pPr>
          </w:p>
          <w:p w:rsidR="00B04E96" w:rsidRPr="005A35D3" w:rsidRDefault="00B04E96" w:rsidP="005A35D3">
            <w:pPr>
              <w:spacing w:line="276" w:lineRule="auto"/>
              <w:rPr>
                <w:rFonts w:cstheme="minorHAnsi"/>
              </w:rPr>
            </w:pPr>
          </w:p>
          <w:p w:rsidR="00B04E96" w:rsidRPr="005A35D3" w:rsidRDefault="00B04E96" w:rsidP="005A35D3">
            <w:pPr>
              <w:spacing w:line="276" w:lineRule="auto"/>
              <w:rPr>
                <w:rFonts w:cstheme="minorHAnsi"/>
              </w:rPr>
            </w:pPr>
            <w:r w:rsidRPr="005A35D3">
              <w:rPr>
                <w:rFonts w:cstheme="minorHAnsi"/>
              </w:rPr>
              <w:t>794</w:t>
            </w:r>
          </w:p>
        </w:tc>
        <w:tc>
          <w:tcPr>
            <w:tcW w:w="1165" w:type="dxa"/>
          </w:tcPr>
          <w:p w:rsidR="00B04E96" w:rsidRPr="005A35D3" w:rsidRDefault="00B04E96" w:rsidP="005A35D3">
            <w:pPr>
              <w:spacing w:line="276" w:lineRule="auto"/>
              <w:rPr>
                <w:rFonts w:cstheme="minorHAnsi"/>
              </w:rPr>
            </w:pPr>
            <w:r w:rsidRPr="005A35D3">
              <w:rPr>
                <w:rFonts w:cstheme="minorHAnsi"/>
              </w:rPr>
              <w:t>500 €</w:t>
            </w:r>
          </w:p>
          <w:p w:rsidR="00B04E96" w:rsidRPr="005A35D3" w:rsidRDefault="00B04E96" w:rsidP="005A35D3">
            <w:pPr>
              <w:spacing w:line="276" w:lineRule="auto"/>
              <w:rPr>
                <w:rFonts w:cstheme="minorHAnsi"/>
              </w:rPr>
            </w:pPr>
          </w:p>
          <w:p w:rsidR="00B04E96" w:rsidRPr="005A35D3" w:rsidRDefault="00B04E96" w:rsidP="005A35D3">
            <w:pPr>
              <w:spacing w:line="276" w:lineRule="auto"/>
              <w:rPr>
                <w:rFonts w:cstheme="minorHAnsi"/>
              </w:rPr>
            </w:pPr>
          </w:p>
          <w:p w:rsidR="00B04E96" w:rsidRPr="005A35D3" w:rsidRDefault="00B04E96" w:rsidP="005A35D3">
            <w:pPr>
              <w:spacing w:line="276" w:lineRule="auto"/>
              <w:rPr>
                <w:rFonts w:cstheme="minorHAnsi"/>
              </w:rPr>
            </w:pPr>
            <w:r w:rsidRPr="005A35D3">
              <w:rPr>
                <w:rFonts w:cstheme="minorHAnsi"/>
              </w:rPr>
              <w:t>500 €</w:t>
            </w:r>
          </w:p>
        </w:tc>
      </w:tr>
    </w:tbl>
    <w:p w:rsidR="00B04E96" w:rsidRPr="005A35D3" w:rsidRDefault="00B04E96" w:rsidP="005A35D3">
      <w:pPr>
        <w:spacing w:after="0" w:line="276" w:lineRule="auto"/>
        <w:rPr>
          <w:rFonts w:cstheme="minorHAnsi"/>
        </w:rPr>
      </w:pPr>
      <w:r w:rsidRPr="005A35D3">
        <w:rPr>
          <w:rFonts w:cstheme="minorHAnsi"/>
        </w:rPr>
        <w:lastRenderedPageBreak/>
        <w:t>La estimación mixta del deterioro de los créditos comerciales consiste en registrar de forma global el deterioro de valor de los saldos de créditos de importe no significativo, y de forma individual los saldos de los créditos de importe significativo.</w:t>
      </w:r>
    </w:p>
    <w:p w:rsidR="00B04E96" w:rsidRPr="005A35D3" w:rsidRDefault="00B04E96" w:rsidP="005A35D3">
      <w:pPr>
        <w:pStyle w:val="Default"/>
        <w:spacing w:line="276" w:lineRule="auto"/>
        <w:rPr>
          <w:rFonts w:asciiTheme="minorHAnsi" w:hAnsiTheme="minorHAnsi" w:cstheme="minorHAnsi"/>
          <w:sz w:val="22"/>
          <w:szCs w:val="22"/>
        </w:rPr>
      </w:pPr>
    </w:p>
    <w:p w:rsidR="00B04E96" w:rsidRPr="005A35D3" w:rsidRDefault="00B04E96" w:rsidP="005A35D3">
      <w:pPr>
        <w:pStyle w:val="Default"/>
        <w:spacing w:line="276" w:lineRule="auto"/>
        <w:rPr>
          <w:rFonts w:asciiTheme="minorHAnsi" w:hAnsiTheme="minorHAnsi" w:cstheme="minorHAnsi"/>
          <w:b/>
          <w:i/>
          <w:sz w:val="22"/>
          <w:szCs w:val="22"/>
        </w:rPr>
      </w:pPr>
      <w:r w:rsidRPr="005A35D3">
        <w:rPr>
          <w:rFonts w:asciiTheme="minorHAnsi" w:hAnsiTheme="minorHAnsi" w:cstheme="minorHAnsi"/>
          <w:b/>
          <w:i/>
          <w:sz w:val="22"/>
          <w:szCs w:val="22"/>
        </w:rPr>
        <w:t xml:space="preserve">3.6. Provisiones por operaciones comerciales. </w:t>
      </w:r>
    </w:p>
    <w:p w:rsidR="00B04E96" w:rsidRPr="005A35D3" w:rsidRDefault="00B04E96" w:rsidP="005A35D3">
      <w:pPr>
        <w:spacing w:after="0" w:line="276" w:lineRule="auto"/>
        <w:rPr>
          <w:rFonts w:cstheme="minorHAnsi"/>
        </w:rPr>
      </w:pPr>
      <w:r w:rsidRPr="005A35D3">
        <w:rPr>
          <w:rFonts w:cstheme="minorHAnsi"/>
        </w:rPr>
        <w:t>Una provisión es una cuenta de </w:t>
      </w:r>
      <w:hyperlink r:id="rId8" w:history="1">
        <w:r w:rsidRPr="005A35D3">
          <w:rPr>
            <w:rStyle w:val="Hipervnculo"/>
            <w:rFonts w:cstheme="minorHAnsi"/>
          </w:rPr>
          <w:t>pasivo</w:t>
        </w:r>
      </w:hyperlink>
      <w:r w:rsidRPr="005A35D3">
        <w:rPr>
          <w:rFonts w:cstheme="minorHAnsi"/>
        </w:rPr>
        <w:t> y consiste en establecer y "guardar" una cantidad de recursos como un gasto para estar preparados por si realmente se produjese el pago de una obligación que la empresa ya ha contraído con anterioridad.</w:t>
      </w:r>
    </w:p>
    <w:p w:rsidR="00B04E96" w:rsidRPr="005A35D3" w:rsidRDefault="00B04E96" w:rsidP="005A35D3">
      <w:pPr>
        <w:spacing w:after="0" w:line="276" w:lineRule="auto"/>
        <w:rPr>
          <w:rFonts w:cstheme="minorHAnsi"/>
        </w:rPr>
      </w:pPr>
      <w:r w:rsidRPr="005A35D3">
        <w:rPr>
          <w:rFonts w:cstheme="minorHAnsi"/>
        </w:rPr>
        <w:t>Es decir, cuando suponemos que algún bien de </w:t>
      </w:r>
      <w:hyperlink r:id="rId9" w:history="1">
        <w:r w:rsidRPr="005A35D3">
          <w:rPr>
            <w:rStyle w:val="Hipervnculo"/>
            <w:rFonts w:cstheme="minorHAnsi"/>
          </w:rPr>
          <w:t>la empresa</w:t>
        </w:r>
      </w:hyperlink>
      <w:r w:rsidRPr="005A35D3">
        <w:rPr>
          <w:rFonts w:cstheme="minorHAnsi"/>
        </w:rPr>
        <w:t> va a perder valor o tenemos que satisfacer una obligación dentro de un periodo de tiempo, dotamos una provisión por el valor de la obligación.</w:t>
      </w:r>
    </w:p>
    <w:p w:rsidR="00B04E96" w:rsidRDefault="00B04E96" w:rsidP="005A35D3">
      <w:pPr>
        <w:spacing w:after="0" w:line="276" w:lineRule="auto"/>
        <w:rPr>
          <w:rFonts w:cstheme="minorHAnsi"/>
        </w:rPr>
      </w:pPr>
      <w:r w:rsidRPr="005A35D3">
        <w:rPr>
          <w:rFonts w:cstheme="minorHAnsi"/>
        </w:rPr>
        <w:t>Si realmente llega a producirse ya habíamos contado con ella y tenemos recursos para hacer frente; si, por el contrario, no llega a producirse, quitaremos la provisión y no tendremos ese gasto.</w:t>
      </w:r>
    </w:p>
    <w:p w:rsidR="005A35D3" w:rsidRPr="005A35D3" w:rsidRDefault="005A35D3" w:rsidP="005A35D3">
      <w:pPr>
        <w:spacing w:after="0" w:line="276" w:lineRule="auto"/>
        <w:rPr>
          <w:rFonts w:cstheme="minorHAnsi"/>
        </w:rPr>
      </w:pPr>
    </w:p>
    <w:p w:rsidR="00B04E96" w:rsidRPr="005A35D3" w:rsidRDefault="00B04E96" w:rsidP="005A35D3">
      <w:pPr>
        <w:spacing w:after="0" w:line="276" w:lineRule="auto"/>
        <w:rPr>
          <w:rFonts w:cstheme="minorHAnsi"/>
          <w:b/>
        </w:rPr>
      </w:pPr>
      <w:r w:rsidRPr="005A35D3">
        <w:rPr>
          <w:rFonts w:cstheme="minorHAnsi"/>
          <w:b/>
        </w:rPr>
        <w:t>Diferencia entre provisiones y deterioros:</w:t>
      </w:r>
    </w:p>
    <w:p w:rsidR="00B04E96" w:rsidRPr="005A35D3" w:rsidRDefault="00B04E96" w:rsidP="005A35D3">
      <w:pPr>
        <w:spacing w:after="0" w:line="276" w:lineRule="auto"/>
        <w:rPr>
          <w:rFonts w:cstheme="minorHAnsi"/>
        </w:rPr>
      </w:pPr>
      <w:r w:rsidRPr="005A35D3">
        <w:rPr>
          <w:rFonts w:cstheme="minorHAnsi"/>
        </w:rPr>
        <w:t>Las provisiones por operaciones comerciales son provisiones (deudas) por el reconocimiento de obligaciones actuales, al cierre del ejercicio, por los gastos a incurrir tras la entrega de bienes o la prestación de servicios como: cobertura de gastos por devoluciones de ventas, garantías sobre los productos vendidos y conceptos análogos.</w:t>
      </w:r>
    </w:p>
    <w:p w:rsidR="00B04E96" w:rsidRPr="005A35D3" w:rsidRDefault="00B04E96" w:rsidP="005A35D3">
      <w:pPr>
        <w:spacing w:after="0" w:line="276" w:lineRule="auto"/>
        <w:rPr>
          <w:rFonts w:cstheme="minorHAnsi"/>
        </w:rPr>
      </w:pPr>
      <w:r w:rsidRPr="005A35D3">
        <w:rPr>
          <w:rFonts w:cstheme="minorHAnsi"/>
        </w:rPr>
        <w:t>Se dotan al final del ejercicio con cargo a la cuenta 6959.</w:t>
      </w:r>
    </w:p>
    <w:p w:rsidR="00B04E96" w:rsidRPr="005A35D3" w:rsidRDefault="00B04E96" w:rsidP="005A35D3">
      <w:pPr>
        <w:spacing w:after="0" w:line="276" w:lineRule="auto"/>
        <w:rPr>
          <w:rFonts w:cstheme="minorHAnsi"/>
        </w:rPr>
      </w:pPr>
      <w:r w:rsidRPr="005A35D3">
        <w:rPr>
          <w:rFonts w:cstheme="minorHAnsi"/>
        </w:rPr>
        <w:t>Durante el ejercicio siguiente los gastos los contabilizaremos en sus correspondientes cuentas de grupo 6 (devoluciones, reparaciones…)</w:t>
      </w:r>
    </w:p>
    <w:p w:rsidR="00B04E96" w:rsidRPr="005A35D3" w:rsidRDefault="00B04E96" w:rsidP="005A35D3">
      <w:pPr>
        <w:spacing w:after="0" w:line="276" w:lineRule="auto"/>
        <w:rPr>
          <w:rFonts w:cstheme="minorHAnsi"/>
        </w:rPr>
      </w:pPr>
      <w:r w:rsidRPr="005A35D3">
        <w:rPr>
          <w:rFonts w:cstheme="minorHAnsi"/>
        </w:rPr>
        <w:t>Al final del ejercicio se aplicarán la provisión dotada (creada) el ejercicio anterior, con abono a 795, y se dotará, si procede, la provisión estimada para el siguiente.</w:t>
      </w:r>
    </w:p>
    <w:p w:rsidR="00B04E96" w:rsidRPr="005A35D3" w:rsidRDefault="00B04E96" w:rsidP="005A35D3">
      <w:pPr>
        <w:spacing w:after="0" w:line="276" w:lineRule="auto"/>
        <w:rPr>
          <w:rFonts w:cstheme="minorHAnsi"/>
        </w:rPr>
      </w:pPr>
      <w:r w:rsidRPr="005A35D3">
        <w:rPr>
          <w:rFonts w:cstheme="minorHAnsi"/>
        </w:rPr>
        <w:t>Las provisiones por operaciones comerciales tienen saldo acreedor y figurarán en el pasivo del balance.</w:t>
      </w:r>
    </w:p>
    <w:p w:rsidR="00B04E96" w:rsidRPr="005A35D3" w:rsidRDefault="00B04E96" w:rsidP="005A35D3">
      <w:pPr>
        <w:pStyle w:val="Default"/>
        <w:spacing w:line="276" w:lineRule="auto"/>
        <w:rPr>
          <w:rFonts w:asciiTheme="minorHAnsi" w:hAnsiTheme="minorHAnsi" w:cstheme="minorHAnsi"/>
          <w:sz w:val="22"/>
          <w:szCs w:val="22"/>
        </w:rPr>
      </w:pPr>
    </w:p>
    <w:p w:rsidR="00B04E96" w:rsidRDefault="00B04E96" w:rsidP="005A35D3">
      <w:pPr>
        <w:pStyle w:val="Default"/>
        <w:spacing w:line="276" w:lineRule="auto"/>
        <w:rPr>
          <w:rFonts w:asciiTheme="minorHAnsi" w:hAnsiTheme="minorHAnsi" w:cstheme="minorHAnsi"/>
          <w:b/>
          <w:i/>
          <w:sz w:val="22"/>
          <w:szCs w:val="22"/>
        </w:rPr>
      </w:pPr>
      <w:r w:rsidRPr="005A35D3">
        <w:rPr>
          <w:rFonts w:asciiTheme="minorHAnsi" w:hAnsiTheme="minorHAnsi" w:cstheme="minorHAnsi"/>
          <w:b/>
          <w:i/>
          <w:sz w:val="22"/>
          <w:szCs w:val="22"/>
        </w:rPr>
        <w:t>3.7. Intereses de aplazamiento de créditos y débitos comerciales</w:t>
      </w:r>
    </w:p>
    <w:p w:rsidR="005A35D3" w:rsidRPr="005A35D3" w:rsidRDefault="005A35D3" w:rsidP="005A35D3">
      <w:pPr>
        <w:pStyle w:val="Default"/>
        <w:spacing w:line="276" w:lineRule="auto"/>
        <w:rPr>
          <w:rFonts w:asciiTheme="minorHAnsi" w:hAnsiTheme="minorHAnsi" w:cstheme="minorHAnsi"/>
          <w:b/>
          <w:i/>
          <w:sz w:val="22"/>
          <w:szCs w:val="22"/>
        </w:rPr>
      </w:pPr>
    </w:p>
    <w:p w:rsidR="00B04E96" w:rsidRPr="005A35D3" w:rsidRDefault="00B04E96" w:rsidP="005A35D3">
      <w:pPr>
        <w:spacing w:after="0" w:line="276" w:lineRule="auto"/>
        <w:rPr>
          <w:rFonts w:cstheme="minorHAnsi"/>
          <w:b/>
        </w:rPr>
      </w:pPr>
      <w:r w:rsidRPr="005A35D3">
        <w:rPr>
          <w:rFonts w:cstheme="minorHAnsi"/>
          <w:b/>
        </w:rPr>
        <w:t>Operaciones a corto plazo</w:t>
      </w:r>
    </w:p>
    <w:p w:rsidR="00B04E96" w:rsidRPr="005A35D3" w:rsidRDefault="00B04E96" w:rsidP="005A35D3">
      <w:pPr>
        <w:spacing w:after="0" w:line="276" w:lineRule="auto"/>
        <w:rPr>
          <w:rFonts w:cstheme="minorHAnsi"/>
        </w:rPr>
      </w:pPr>
      <w:r w:rsidRPr="005A35D3">
        <w:rPr>
          <w:rFonts w:cstheme="minorHAnsi"/>
        </w:rPr>
        <w:t>- </w:t>
      </w:r>
      <w:r w:rsidRPr="005A35D3">
        <w:rPr>
          <w:rFonts w:cstheme="minorHAnsi"/>
          <w:u w:val="single"/>
        </w:rPr>
        <w:t>Sin interés contractual</w:t>
      </w:r>
      <w:r w:rsidRPr="005A35D3">
        <w:rPr>
          <w:rFonts w:cstheme="minorHAnsi"/>
        </w:rPr>
        <w:t>: El interés no aparece en factura con lo que se contabiliza por el importe nominal y no debemos hacer ningún tipo de reparto ni imputación.</w:t>
      </w:r>
    </w:p>
    <w:p w:rsidR="00B04E96" w:rsidRDefault="00B04E96" w:rsidP="005A35D3">
      <w:pPr>
        <w:spacing w:after="0" w:line="276" w:lineRule="auto"/>
        <w:rPr>
          <w:rFonts w:cstheme="minorHAnsi"/>
        </w:rPr>
      </w:pPr>
      <w:r w:rsidRPr="005A35D3">
        <w:rPr>
          <w:rFonts w:cstheme="minorHAnsi"/>
        </w:rPr>
        <w:t>- </w:t>
      </w:r>
      <w:r w:rsidRPr="005A35D3">
        <w:rPr>
          <w:rFonts w:cstheme="minorHAnsi"/>
          <w:u w:val="single"/>
        </w:rPr>
        <w:t>Con interés contractual</w:t>
      </w:r>
      <w:r w:rsidRPr="005A35D3">
        <w:rPr>
          <w:rFonts w:cstheme="minorHAnsi"/>
        </w:rPr>
        <w:t>: El interés aparece en la factura. Contabilizamos la factura por el principal y luego vamos imputando intereses conforme se van devengando, al ser a corto plazo, normalmente al vencimiento.</w:t>
      </w:r>
    </w:p>
    <w:p w:rsidR="005A35D3" w:rsidRPr="005A35D3" w:rsidRDefault="005A35D3" w:rsidP="005A35D3">
      <w:pPr>
        <w:spacing w:after="0" w:line="276" w:lineRule="auto"/>
        <w:rPr>
          <w:rFonts w:cstheme="minorHAnsi"/>
        </w:rPr>
      </w:pPr>
    </w:p>
    <w:p w:rsidR="00B04E96" w:rsidRPr="005A35D3" w:rsidRDefault="00B04E96" w:rsidP="005A35D3">
      <w:pPr>
        <w:spacing w:after="0" w:line="276" w:lineRule="auto"/>
        <w:rPr>
          <w:rFonts w:cstheme="minorHAnsi"/>
          <w:b/>
        </w:rPr>
      </w:pPr>
      <w:r w:rsidRPr="005A35D3">
        <w:rPr>
          <w:rFonts w:cstheme="minorHAnsi"/>
          <w:b/>
        </w:rPr>
        <w:t>Operaciones a largo</w:t>
      </w:r>
    </w:p>
    <w:p w:rsidR="00B04E96" w:rsidRPr="005A35D3" w:rsidRDefault="00B04E96" w:rsidP="005A35D3">
      <w:pPr>
        <w:spacing w:after="0" w:line="276" w:lineRule="auto"/>
        <w:rPr>
          <w:rFonts w:cstheme="minorHAnsi"/>
        </w:rPr>
      </w:pPr>
      <w:r w:rsidRPr="005A35D3">
        <w:rPr>
          <w:rFonts w:cstheme="minorHAnsi"/>
        </w:rPr>
        <w:t>- </w:t>
      </w:r>
      <w:r w:rsidRPr="005A35D3">
        <w:rPr>
          <w:rFonts w:cstheme="minorHAnsi"/>
          <w:u w:val="single"/>
        </w:rPr>
        <w:t>Sin interés contractual</w:t>
      </w:r>
      <w:r w:rsidRPr="005A35D3">
        <w:rPr>
          <w:rFonts w:cstheme="minorHAnsi"/>
        </w:rPr>
        <w:t>: Aunque en la factura no vengan los intereses, debemos suponer que tiene intereses y contabilizarlo por el principal. Por ello debemos, de la cantidad de la factura, suponer cuanto es principal y cuantos intereses. Los intereses se irán contabilizando conforme se vayan devengando.</w:t>
      </w:r>
    </w:p>
    <w:p w:rsidR="00B04E96" w:rsidRPr="005A35D3" w:rsidRDefault="00B04E96" w:rsidP="005A35D3">
      <w:pPr>
        <w:spacing w:after="0" w:line="276" w:lineRule="auto"/>
        <w:rPr>
          <w:rFonts w:cstheme="minorHAnsi"/>
        </w:rPr>
      </w:pPr>
      <w:r w:rsidRPr="005A35D3">
        <w:rPr>
          <w:rFonts w:cstheme="minorHAnsi"/>
        </w:rPr>
        <w:t>- </w:t>
      </w:r>
      <w:r w:rsidRPr="005A35D3">
        <w:rPr>
          <w:rFonts w:cstheme="minorHAnsi"/>
          <w:u w:val="single"/>
        </w:rPr>
        <w:t>Con interés contractual</w:t>
      </w:r>
      <w:r w:rsidRPr="005A35D3">
        <w:rPr>
          <w:rFonts w:cstheme="minorHAnsi"/>
        </w:rPr>
        <w:t>: Por el principal y luego vamos imputando intereses siguiendo el método del tipo de interés efectivo.</w:t>
      </w:r>
    </w:p>
    <w:p w:rsidR="007930DF" w:rsidRPr="005A35D3" w:rsidRDefault="007930DF" w:rsidP="005A35D3">
      <w:pPr>
        <w:spacing w:after="0" w:line="276" w:lineRule="auto"/>
        <w:rPr>
          <w:rFonts w:cstheme="minorHAnsi"/>
        </w:rPr>
      </w:pPr>
      <w:bookmarkStart w:id="0" w:name="_GoBack"/>
      <w:bookmarkEnd w:id="0"/>
    </w:p>
    <w:sectPr w:rsidR="007930DF" w:rsidRPr="005A35D3" w:rsidSect="00C7079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93ECD"/>
    <w:multiLevelType w:val="hybridMultilevel"/>
    <w:tmpl w:val="6E4E1024"/>
    <w:lvl w:ilvl="0" w:tplc="8958721A">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ADD6AF1"/>
    <w:multiLevelType w:val="hybridMultilevel"/>
    <w:tmpl w:val="D53A9CAA"/>
    <w:lvl w:ilvl="0" w:tplc="8958721A">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16E6485"/>
    <w:multiLevelType w:val="hybridMultilevel"/>
    <w:tmpl w:val="48C4FC2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A49073E"/>
    <w:multiLevelType w:val="hybridMultilevel"/>
    <w:tmpl w:val="2FFE9A6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D2D7694"/>
    <w:multiLevelType w:val="hybridMultilevel"/>
    <w:tmpl w:val="39CA7BAE"/>
    <w:lvl w:ilvl="0" w:tplc="0C0A000B">
      <w:start w:val="1"/>
      <w:numFmt w:val="bullet"/>
      <w:lvlText w:val=""/>
      <w:lvlJc w:val="left"/>
      <w:pPr>
        <w:ind w:left="720" w:hanging="360"/>
      </w:pPr>
      <w:rPr>
        <w:rFonts w:ascii="Wingdings" w:hAnsi="Wingdings" w:hint="default"/>
      </w:rPr>
    </w:lvl>
    <w:lvl w:ilvl="1" w:tplc="28F4A056">
      <w:start w:val="3"/>
      <w:numFmt w:val="bullet"/>
      <w:lvlText w:val="–"/>
      <w:lvlJc w:val="left"/>
      <w:pPr>
        <w:ind w:left="1440" w:hanging="360"/>
      </w:pPr>
      <w:rPr>
        <w:rFonts w:ascii="Calibri" w:eastAsiaTheme="minorHAns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B6B08B0"/>
    <w:multiLevelType w:val="hybridMultilevel"/>
    <w:tmpl w:val="E88A8B0E"/>
    <w:lvl w:ilvl="0" w:tplc="D94E0FF0">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B04E96"/>
    <w:rsid w:val="005A35D3"/>
    <w:rsid w:val="007930DF"/>
    <w:rsid w:val="00B04E96"/>
    <w:rsid w:val="00C7079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E9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04E96"/>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B04E96"/>
    <w:pPr>
      <w:ind w:left="720"/>
      <w:contextualSpacing/>
    </w:pPr>
  </w:style>
  <w:style w:type="character" w:styleId="Hipervnculo">
    <w:name w:val="Hyperlink"/>
    <w:basedOn w:val="Fuentedeprrafopredeter"/>
    <w:uiPriority w:val="99"/>
    <w:unhideWhenUsed/>
    <w:rsid w:val="00B04E96"/>
    <w:rPr>
      <w:color w:val="0000FF"/>
      <w:u w:val="single"/>
    </w:rPr>
  </w:style>
  <w:style w:type="table" w:styleId="Tablaconcuadrcula">
    <w:name w:val="Table Grid"/>
    <w:basedOn w:val="Tablanormal"/>
    <w:uiPriority w:val="39"/>
    <w:rsid w:val="00B04E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bitoor.es/glosario/definicion-de-pasivo" TargetMode="External"/><Relationship Id="rId3" Type="http://schemas.openxmlformats.org/officeDocument/2006/relationships/settings" Target="settings.xml"/><Relationship Id="rId7" Type="http://schemas.openxmlformats.org/officeDocument/2006/relationships/hyperlink" Target="https://www.hercules1494.com/AsCont/faces/home.js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percontable.com/informacion/Contabilidad/Norma_Valoracion_8a.Plan_General_Contabilidad_.html" TargetMode="External"/><Relationship Id="rId11" Type="http://schemas.openxmlformats.org/officeDocument/2006/relationships/theme" Target="theme/theme1.xml"/><Relationship Id="rId5" Type="http://schemas.openxmlformats.org/officeDocument/2006/relationships/hyperlink" Target="http://www.supercontable.com/informacion/contabilidad/Cuenta_490_Deterioro_de_valor_de_creditos_por_.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ebitoor.es/glosario/definicion-empres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2474</Words>
  <Characters>13608</Characters>
  <Application>Microsoft Office Word</Application>
  <DocSecurity>0</DocSecurity>
  <Lines>113</Lines>
  <Paragraphs>32</Paragraphs>
  <ScaleCrop>false</ScaleCrop>
  <Company/>
  <LinksUpToDate>false</LinksUpToDate>
  <CharactersWithSpaces>16050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ÁNGEL SALGUERO</dc:creator>
  <cp:keywords/>
  <dc:description/>
  <cp:lastModifiedBy>MARINA MELGUIZO</cp:lastModifiedBy>
  <cp:revision>2</cp:revision>
  <dcterms:created xsi:type="dcterms:W3CDTF">2018-12-11T22:16:00Z</dcterms:created>
  <dcterms:modified xsi:type="dcterms:W3CDTF">2018-12-11T22:46:00Z</dcterms:modified>
</cp:coreProperties>
</file>